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C6" w:rsidRDefault="000962C6" w:rsidP="000962C6">
      <w:pPr>
        <w:pStyle w:val="NoSpacing"/>
        <w:spacing w:line="480" w:lineRule="auto"/>
        <w:jc w:val="both"/>
        <w:rPr>
          <w:rFonts w:ascii="Arial" w:hAnsi="Arial" w:cs="Arial"/>
          <w:b/>
          <w:bCs/>
          <w:color w:val="FF0000"/>
          <w:sz w:val="18"/>
          <w:szCs w:val="18"/>
          <w:shd w:val="clear" w:color="auto" w:fill="FFFFFF"/>
          <w:lang w:val="en-GB"/>
        </w:rPr>
      </w:pPr>
      <w:r w:rsidRPr="00DC09DA">
        <w:rPr>
          <w:rFonts w:ascii="Arial" w:hAnsi="Arial" w:cs="Arial"/>
          <w:b/>
          <w:bCs/>
          <w:color w:val="FF0000"/>
          <w:sz w:val="18"/>
          <w:szCs w:val="18"/>
          <w:shd w:val="clear" w:color="auto" w:fill="FFFFFF"/>
          <w:lang w:val="en-GB"/>
        </w:rPr>
        <w:t>"This is the author's accepted manuscript. The final published version of this work (the version of record) is published by [</w:t>
      </w:r>
      <w:r>
        <w:rPr>
          <w:rStyle w:val="Emphasis"/>
          <w:rFonts w:ascii="Arial" w:hAnsi="Arial" w:cs="Arial"/>
          <w:b/>
          <w:bCs/>
          <w:color w:val="FF0000"/>
          <w:sz w:val="18"/>
          <w:szCs w:val="18"/>
          <w:shd w:val="clear" w:color="auto" w:fill="FFFFFF"/>
          <w:lang w:val="en-GB"/>
        </w:rPr>
        <w:t>Elsevier</w:t>
      </w:r>
      <w:r w:rsidRPr="00DC09DA">
        <w:rPr>
          <w:rFonts w:ascii="Arial" w:hAnsi="Arial" w:cs="Arial"/>
          <w:b/>
          <w:bCs/>
          <w:color w:val="FF0000"/>
          <w:sz w:val="18"/>
          <w:szCs w:val="18"/>
          <w:shd w:val="clear" w:color="auto" w:fill="FFFFFF"/>
          <w:lang w:val="en-GB"/>
        </w:rPr>
        <w:t>] in [</w:t>
      </w:r>
      <w:r>
        <w:rPr>
          <w:rStyle w:val="Emphasis"/>
          <w:rFonts w:ascii="Arial" w:hAnsi="Arial" w:cs="Arial"/>
          <w:b/>
          <w:bCs/>
          <w:color w:val="FF0000"/>
          <w:sz w:val="18"/>
          <w:szCs w:val="18"/>
          <w:shd w:val="clear" w:color="auto" w:fill="FFFFFF"/>
          <w:lang w:val="en-GB"/>
        </w:rPr>
        <w:t>Chemosphere</w:t>
      </w:r>
      <w:r>
        <w:rPr>
          <w:rStyle w:val="Emphasis"/>
          <w:rFonts w:ascii="Arial" w:hAnsi="Arial" w:cs="Arial"/>
          <w:b/>
          <w:bCs/>
          <w:color w:val="FF0000"/>
          <w:sz w:val="18"/>
          <w:szCs w:val="18"/>
          <w:shd w:val="clear" w:color="auto" w:fill="FFFFFF"/>
          <w:lang w:val="en-GB"/>
        </w:rPr>
        <w:t>, 2017</w:t>
      </w:r>
      <w:r w:rsidRPr="00DC09DA">
        <w:rPr>
          <w:rFonts w:ascii="Arial" w:hAnsi="Arial" w:cs="Arial"/>
          <w:b/>
          <w:bCs/>
          <w:color w:val="FF0000"/>
          <w:sz w:val="18"/>
          <w:szCs w:val="18"/>
          <w:shd w:val="clear" w:color="auto" w:fill="FFFFFF"/>
          <w:lang w:val="en-GB"/>
        </w:rPr>
        <w:t>] available at: [</w:t>
      </w:r>
      <w:hyperlink r:id="rId9" w:history="1">
        <w:r w:rsidRPr="000962C6">
          <w:rPr>
            <w:rStyle w:val="Hyperlink"/>
            <w:lang w:val="en-GB"/>
          </w:rPr>
          <w:t>http://dx.doi.org/10.1016/j.chemosphere.2017.04.114</w:t>
        </w:r>
      </w:hyperlink>
      <w:r w:rsidRPr="00DC09DA">
        <w:rPr>
          <w:rFonts w:ascii="Arial" w:hAnsi="Arial" w:cs="Arial"/>
          <w:b/>
          <w:bCs/>
          <w:color w:val="FF0000"/>
          <w:sz w:val="18"/>
          <w:szCs w:val="18"/>
          <w:shd w:val="clear" w:color="auto" w:fill="FFFFFF"/>
          <w:lang w:val="en-GB"/>
        </w:rPr>
        <w:t>].   This work is made available online in accordance with the publisher's policies. Please refer to any applicable terms of use of the publisher."  </w:t>
      </w:r>
    </w:p>
    <w:p w:rsidR="009951C6" w:rsidRPr="00951F3B" w:rsidRDefault="009951C6" w:rsidP="00280083">
      <w:pPr>
        <w:pStyle w:val="Corpsdetexte31"/>
        <w:pageBreakBefore/>
        <w:jc w:val="both"/>
        <w:rPr>
          <w:b/>
        </w:rPr>
      </w:pPr>
      <w:r w:rsidRPr="00951F3B">
        <w:rPr>
          <w:b/>
          <w:bCs/>
          <w:sz w:val="32"/>
          <w:szCs w:val="32"/>
        </w:rPr>
        <w:lastRenderedPageBreak/>
        <w:t xml:space="preserve">Development and validation of an OECD reproductive toxicity test guideline with the mudsnail </w:t>
      </w:r>
      <w:r w:rsidRPr="00951F3B">
        <w:rPr>
          <w:b/>
          <w:bCs/>
          <w:i/>
          <w:sz w:val="32"/>
          <w:szCs w:val="32"/>
        </w:rPr>
        <w:t xml:space="preserve">Potamopyrgus antipodarum </w:t>
      </w:r>
      <w:r w:rsidRPr="00951F3B">
        <w:rPr>
          <w:b/>
          <w:bCs/>
          <w:sz w:val="32"/>
          <w:szCs w:val="32"/>
        </w:rPr>
        <w:t>(Mollusca, Gastropoda)</w:t>
      </w:r>
    </w:p>
    <w:p w:rsidR="009951C6" w:rsidRPr="00951F3B" w:rsidRDefault="009951C6" w:rsidP="00280083">
      <w:pPr>
        <w:spacing w:line="480" w:lineRule="auto"/>
        <w:jc w:val="both"/>
        <w:rPr>
          <w:b/>
          <w:bCs/>
          <w:i/>
          <w:iCs/>
          <w:lang w:val="en-GB"/>
        </w:rPr>
      </w:pPr>
    </w:p>
    <w:p w:rsidR="009951C6" w:rsidRPr="00951F3B" w:rsidRDefault="009951C6" w:rsidP="00280083">
      <w:pPr>
        <w:spacing w:line="480" w:lineRule="auto"/>
        <w:jc w:val="both"/>
        <w:rPr>
          <w:lang w:val="en-GB"/>
        </w:rPr>
      </w:pPr>
      <w:r w:rsidRPr="00951F3B">
        <w:rPr>
          <w:lang w:val="en-GB"/>
        </w:rPr>
        <w:t>Katharina Ruppert</w:t>
      </w:r>
      <w:r w:rsidRPr="00951F3B">
        <w:rPr>
          <w:vertAlign w:val="superscript"/>
          <w:lang w:val="en-GB"/>
        </w:rPr>
        <w:t>a*</w:t>
      </w:r>
      <w:r w:rsidRPr="00951F3B">
        <w:rPr>
          <w:lang w:val="en-GB"/>
        </w:rPr>
        <w:t>, Cornelia Geiß</w:t>
      </w:r>
      <w:r w:rsidRPr="00951F3B">
        <w:rPr>
          <w:vertAlign w:val="superscript"/>
          <w:lang w:val="en-GB"/>
        </w:rPr>
        <w:t>a</w:t>
      </w:r>
      <w:r w:rsidRPr="00951F3B">
        <w:rPr>
          <w:lang w:val="en-GB"/>
        </w:rPr>
        <w:t xml:space="preserve">, Clare </w:t>
      </w:r>
      <w:r w:rsidR="00280083" w:rsidRPr="00951F3B">
        <w:rPr>
          <w:lang w:val="en-GB"/>
        </w:rPr>
        <w:t>Askem</w:t>
      </w:r>
      <w:r w:rsidR="00280083" w:rsidRPr="00951F3B">
        <w:rPr>
          <w:vertAlign w:val="superscript"/>
          <w:lang w:val="en-GB"/>
        </w:rPr>
        <w:t>b</w:t>
      </w:r>
      <w:r w:rsidRPr="00951F3B">
        <w:rPr>
          <w:lang w:val="en-GB"/>
        </w:rPr>
        <w:t>,</w:t>
      </w:r>
      <w:r w:rsidRPr="00951F3B">
        <w:rPr>
          <w:vertAlign w:val="superscript"/>
          <w:lang w:val="en-GB"/>
        </w:rPr>
        <w:t xml:space="preserve"> </w:t>
      </w:r>
      <w:r w:rsidRPr="00951F3B">
        <w:rPr>
          <w:lang w:val="en-GB"/>
        </w:rPr>
        <w:t xml:space="preserve">Rachel </w:t>
      </w:r>
      <w:r w:rsidR="00280083" w:rsidRPr="00951F3B">
        <w:rPr>
          <w:lang w:val="en-GB"/>
        </w:rPr>
        <w:t>Benstead</w:t>
      </w:r>
      <w:r w:rsidR="00280083" w:rsidRPr="00951F3B">
        <w:rPr>
          <w:vertAlign w:val="superscript"/>
          <w:lang w:val="en-GB"/>
        </w:rPr>
        <w:t>c</w:t>
      </w:r>
      <w:r w:rsidRPr="00951F3B">
        <w:rPr>
          <w:lang w:val="en-GB"/>
        </w:rPr>
        <w:t xml:space="preserve">, Rebecca </w:t>
      </w:r>
      <w:r w:rsidR="00280083" w:rsidRPr="00951F3B">
        <w:rPr>
          <w:lang w:val="en-GB"/>
        </w:rPr>
        <w:t>Brown</w:t>
      </w:r>
      <w:r w:rsidR="00280083" w:rsidRPr="00951F3B">
        <w:rPr>
          <w:vertAlign w:val="superscript"/>
          <w:lang w:val="en-GB"/>
        </w:rPr>
        <w:t>d</w:t>
      </w:r>
      <w:r w:rsidRPr="00951F3B">
        <w:rPr>
          <w:vertAlign w:val="superscript"/>
          <w:lang w:val="en-GB"/>
        </w:rPr>
        <w:t>,</w:t>
      </w:r>
      <w:r w:rsidRPr="00951F3B">
        <w:rPr>
          <w:rStyle w:val="FootnoteReference"/>
          <w:lang w:val="en-GB"/>
        </w:rPr>
        <w:footnoteReference w:id="1"/>
      </w:r>
      <w:r w:rsidRPr="00951F3B">
        <w:rPr>
          <w:lang w:val="en-GB"/>
        </w:rPr>
        <w:t xml:space="preserve">, </w:t>
      </w:r>
      <w:r w:rsidR="0021631E">
        <w:rPr>
          <w:lang w:val="en-GB"/>
        </w:rPr>
        <w:t>Maira Coke</w:t>
      </w:r>
      <w:r w:rsidR="0021631E" w:rsidRPr="003D0C98">
        <w:rPr>
          <w:vertAlign w:val="superscript"/>
          <w:lang w:val="en-GB"/>
        </w:rPr>
        <w:t>e</w:t>
      </w:r>
      <w:r w:rsidR="0021631E">
        <w:rPr>
          <w:lang w:val="en-GB"/>
        </w:rPr>
        <w:t xml:space="preserve">, </w:t>
      </w:r>
      <w:r w:rsidRPr="00951F3B">
        <w:rPr>
          <w:lang w:val="en-GB"/>
        </w:rPr>
        <w:t xml:space="preserve">Virginie </w:t>
      </w:r>
      <w:r w:rsidR="0021631E" w:rsidRPr="00951F3B">
        <w:rPr>
          <w:lang w:val="en-GB"/>
        </w:rPr>
        <w:t>Ducrot</w:t>
      </w:r>
      <w:r w:rsidR="0021631E">
        <w:rPr>
          <w:vertAlign w:val="superscript"/>
          <w:lang w:val="en-GB"/>
        </w:rPr>
        <w:t>f</w:t>
      </w:r>
      <w:r w:rsidRPr="00951F3B">
        <w:rPr>
          <w:vertAlign w:val="superscript"/>
          <w:lang w:val="en-GB"/>
        </w:rPr>
        <w:t>,</w:t>
      </w:r>
      <w:r w:rsidRPr="00951F3B">
        <w:rPr>
          <w:rStyle w:val="FootnoteReference"/>
          <w:lang w:val="en-GB"/>
        </w:rPr>
        <w:footnoteReference w:id="2"/>
      </w:r>
      <w:r w:rsidRPr="00951F3B">
        <w:rPr>
          <w:lang w:val="en-GB"/>
        </w:rPr>
        <w:t xml:space="preserve">, </w:t>
      </w:r>
      <w:r w:rsidR="00280083" w:rsidRPr="00951F3B">
        <w:rPr>
          <w:lang w:val="en-GB"/>
        </w:rPr>
        <w:t xml:space="preserve">Philipp </w:t>
      </w:r>
      <w:r w:rsidR="0021631E" w:rsidRPr="00951F3B">
        <w:rPr>
          <w:lang w:val="en-GB"/>
        </w:rPr>
        <w:t>Egeler</w:t>
      </w:r>
      <w:r w:rsidR="0021631E">
        <w:rPr>
          <w:vertAlign w:val="superscript"/>
          <w:lang w:val="en-GB"/>
        </w:rPr>
        <w:t>g</w:t>
      </w:r>
      <w:r w:rsidR="00280083" w:rsidRPr="00951F3B">
        <w:rPr>
          <w:lang w:val="en-GB"/>
        </w:rPr>
        <w:t xml:space="preserve">, </w:t>
      </w:r>
      <w:r w:rsidRPr="00951F3B">
        <w:rPr>
          <w:lang w:val="en-GB"/>
        </w:rPr>
        <w:t xml:space="preserve">Henrik </w:t>
      </w:r>
      <w:r w:rsidR="0021631E" w:rsidRPr="00951F3B">
        <w:rPr>
          <w:lang w:val="en-GB"/>
        </w:rPr>
        <w:t>Holbech</w:t>
      </w:r>
      <w:r w:rsidR="0021631E">
        <w:rPr>
          <w:vertAlign w:val="superscript"/>
          <w:lang w:val="en-GB"/>
        </w:rPr>
        <w:t>h</w:t>
      </w:r>
      <w:r w:rsidRPr="00951F3B">
        <w:rPr>
          <w:lang w:val="en-GB"/>
        </w:rPr>
        <w:t xml:space="preserve">, Thomas </w:t>
      </w:r>
      <w:r w:rsidR="007244C6">
        <w:rPr>
          <w:lang w:val="en-GB"/>
        </w:rPr>
        <w:t xml:space="preserve">H. </w:t>
      </w:r>
      <w:r w:rsidR="00280083" w:rsidRPr="00951F3B">
        <w:rPr>
          <w:lang w:val="en-GB"/>
        </w:rPr>
        <w:t>Hutchinson</w:t>
      </w:r>
      <w:r w:rsidR="00280083" w:rsidRPr="00951F3B">
        <w:rPr>
          <w:vertAlign w:val="superscript"/>
          <w:lang w:val="en-GB"/>
        </w:rPr>
        <w:t>b</w:t>
      </w:r>
      <w:r w:rsidRPr="00951F3B">
        <w:rPr>
          <w:vertAlign w:val="superscript"/>
          <w:lang w:val="en-GB"/>
        </w:rPr>
        <w:t>,</w:t>
      </w:r>
      <w:r w:rsidRPr="00951F3B">
        <w:rPr>
          <w:rStyle w:val="FootnoteReference"/>
          <w:lang w:val="en-GB"/>
        </w:rPr>
        <w:footnoteReference w:id="3"/>
      </w:r>
      <w:r w:rsidRPr="00951F3B">
        <w:rPr>
          <w:lang w:val="en-GB"/>
        </w:rPr>
        <w:t xml:space="preserve">, Karin L. </w:t>
      </w:r>
      <w:r w:rsidR="0021631E" w:rsidRPr="00951F3B">
        <w:rPr>
          <w:lang w:val="en-GB"/>
        </w:rPr>
        <w:t>Kinnberg</w:t>
      </w:r>
      <w:r w:rsidR="0021631E">
        <w:rPr>
          <w:vertAlign w:val="superscript"/>
          <w:lang w:val="en-GB"/>
        </w:rPr>
        <w:t>h</w:t>
      </w:r>
      <w:r w:rsidRPr="00951F3B">
        <w:rPr>
          <w:lang w:val="en-GB"/>
        </w:rPr>
        <w:t xml:space="preserve">, Laurent </w:t>
      </w:r>
      <w:r w:rsidR="0021631E" w:rsidRPr="00951F3B">
        <w:rPr>
          <w:lang w:val="en-GB"/>
        </w:rPr>
        <w:t>Lagadic</w:t>
      </w:r>
      <w:r w:rsidR="0021631E">
        <w:rPr>
          <w:vertAlign w:val="superscript"/>
          <w:lang w:val="en-GB"/>
        </w:rPr>
        <w:t>f</w:t>
      </w:r>
      <w:r w:rsidRPr="00951F3B">
        <w:rPr>
          <w:vertAlign w:val="superscript"/>
          <w:lang w:val="en-GB"/>
        </w:rPr>
        <w:t>,</w:t>
      </w:r>
      <w:r w:rsidRPr="00951F3B">
        <w:rPr>
          <w:rStyle w:val="FootnoteReference"/>
          <w:lang w:val="en-GB"/>
        </w:rPr>
        <w:t>2</w:t>
      </w:r>
      <w:r w:rsidRPr="00951F3B">
        <w:rPr>
          <w:lang w:val="en-GB"/>
        </w:rPr>
        <w:t xml:space="preserve">, Gareth Le </w:t>
      </w:r>
      <w:r w:rsidR="001C6E7E" w:rsidRPr="00951F3B">
        <w:rPr>
          <w:lang w:val="en-GB"/>
        </w:rPr>
        <w:t>Page</w:t>
      </w:r>
      <w:r w:rsidR="00154296">
        <w:rPr>
          <w:vertAlign w:val="superscript"/>
          <w:lang w:val="en-GB"/>
        </w:rPr>
        <w:t>d</w:t>
      </w:r>
      <w:r w:rsidR="00B67653">
        <w:rPr>
          <w:rStyle w:val="FootnoteReference"/>
          <w:lang w:val="en-GB"/>
        </w:rPr>
        <w:footnoteReference w:id="4"/>
      </w:r>
      <w:r w:rsidRPr="00951F3B">
        <w:rPr>
          <w:lang w:val="en-GB"/>
        </w:rPr>
        <w:t>, Pas</w:t>
      </w:r>
      <w:r w:rsidR="003F295B">
        <w:rPr>
          <w:lang w:val="en-GB"/>
        </w:rPr>
        <w:t>cale</w:t>
      </w:r>
      <w:r w:rsidRPr="00951F3B">
        <w:rPr>
          <w:lang w:val="en-GB"/>
        </w:rPr>
        <w:t xml:space="preserve"> </w:t>
      </w:r>
      <w:r w:rsidR="001C6E7E" w:rsidRPr="00951F3B">
        <w:rPr>
          <w:lang w:val="en-GB"/>
        </w:rPr>
        <w:t>Lorenz</w:t>
      </w:r>
      <w:r w:rsidR="001C6E7E">
        <w:rPr>
          <w:vertAlign w:val="superscript"/>
          <w:lang w:val="en-GB"/>
        </w:rPr>
        <w:t>g</w:t>
      </w:r>
      <w:r w:rsidRPr="00951F3B">
        <w:rPr>
          <w:lang w:val="en-GB"/>
        </w:rPr>
        <w:t xml:space="preserve">, Ailbhe </w:t>
      </w:r>
      <w:r w:rsidR="001C6E7E" w:rsidRPr="00951F3B">
        <w:rPr>
          <w:lang w:val="en-GB"/>
        </w:rPr>
        <w:t>Macken</w:t>
      </w:r>
      <w:r w:rsidR="00154296">
        <w:rPr>
          <w:vertAlign w:val="superscript"/>
          <w:lang w:val="en-GB"/>
        </w:rPr>
        <w:t>i</w:t>
      </w:r>
      <w:r w:rsidRPr="00951F3B">
        <w:rPr>
          <w:lang w:val="en-GB"/>
        </w:rPr>
        <w:t xml:space="preserve">, Peter </w:t>
      </w:r>
      <w:r w:rsidR="001C6E7E" w:rsidRPr="00951F3B">
        <w:rPr>
          <w:lang w:val="en-GB"/>
        </w:rPr>
        <w:t>Matthiessen</w:t>
      </w:r>
      <w:r w:rsidR="00154296">
        <w:rPr>
          <w:vertAlign w:val="superscript"/>
          <w:lang w:val="en-GB"/>
        </w:rPr>
        <w:t>j</w:t>
      </w:r>
      <w:r w:rsidRPr="00951F3B">
        <w:rPr>
          <w:lang w:val="en-GB"/>
        </w:rPr>
        <w:t>, Sina Ostermann</w:t>
      </w:r>
      <w:r w:rsidRPr="00951F3B">
        <w:rPr>
          <w:vertAlign w:val="superscript"/>
          <w:lang w:val="en-GB"/>
        </w:rPr>
        <w:t>a</w:t>
      </w:r>
      <w:r w:rsidRPr="00951F3B">
        <w:rPr>
          <w:lang w:val="en-GB"/>
        </w:rPr>
        <w:t xml:space="preserve">, Ivana </w:t>
      </w:r>
      <w:r w:rsidR="001C6E7E" w:rsidRPr="00951F3B">
        <w:rPr>
          <w:lang w:val="en-GB"/>
        </w:rPr>
        <w:t>Planojevic</w:t>
      </w:r>
      <w:r w:rsidR="00154296">
        <w:rPr>
          <w:vertAlign w:val="superscript"/>
          <w:lang w:val="en-GB"/>
        </w:rPr>
        <w:t>k</w:t>
      </w:r>
      <w:r w:rsidRPr="00951F3B">
        <w:rPr>
          <w:lang w:val="en-GB"/>
        </w:rPr>
        <w:t>, Agnes Schimera</w:t>
      </w:r>
      <w:r w:rsidRPr="00951F3B">
        <w:rPr>
          <w:vertAlign w:val="superscript"/>
          <w:lang w:val="en-GB"/>
        </w:rPr>
        <w:t>a</w:t>
      </w:r>
      <w:r w:rsidRPr="00951F3B">
        <w:rPr>
          <w:rStyle w:val="FootnoteReference"/>
          <w:lang w:val="en-GB"/>
        </w:rPr>
        <w:footnoteReference w:id="5"/>
      </w:r>
      <w:r w:rsidRPr="00951F3B">
        <w:rPr>
          <w:lang w:val="en-GB"/>
        </w:rPr>
        <w:t xml:space="preserve">, Claudia </w:t>
      </w:r>
      <w:r w:rsidR="001C6E7E" w:rsidRPr="00951F3B">
        <w:rPr>
          <w:lang w:val="en-GB"/>
        </w:rPr>
        <w:t>Schmitt</w:t>
      </w:r>
      <w:r w:rsidR="00154296">
        <w:rPr>
          <w:vertAlign w:val="superscript"/>
          <w:lang w:val="en-GB"/>
        </w:rPr>
        <w:t>k</w:t>
      </w:r>
      <w:r w:rsidR="00154296">
        <w:rPr>
          <w:rStyle w:val="FootnoteReference"/>
          <w:lang w:val="en-GB"/>
        </w:rPr>
        <w:footnoteReference w:id="6"/>
      </w:r>
      <w:r w:rsidRPr="00951F3B">
        <w:rPr>
          <w:lang w:val="en-GB"/>
        </w:rPr>
        <w:t>, Anne Seeland-</w:t>
      </w:r>
      <w:r w:rsidR="001C6E7E" w:rsidRPr="00951F3B">
        <w:rPr>
          <w:lang w:val="en-GB"/>
        </w:rPr>
        <w:t>Fremer</w:t>
      </w:r>
      <w:r w:rsidR="00154296">
        <w:rPr>
          <w:vertAlign w:val="superscript"/>
          <w:lang w:val="en-GB"/>
        </w:rPr>
        <w:t>l</w:t>
      </w:r>
      <w:r w:rsidRPr="00951F3B">
        <w:rPr>
          <w:vertAlign w:val="subscript"/>
          <w:lang w:val="en-GB"/>
        </w:rPr>
        <w:t>,</w:t>
      </w:r>
      <w:r w:rsidRPr="00951F3B">
        <w:rPr>
          <w:lang w:val="en-GB"/>
        </w:rPr>
        <w:t xml:space="preserve"> Andy </w:t>
      </w:r>
      <w:r w:rsidR="007244C6">
        <w:rPr>
          <w:lang w:val="en-GB"/>
        </w:rPr>
        <w:t xml:space="preserve">J. </w:t>
      </w:r>
      <w:r w:rsidR="00280083" w:rsidRPr="00951F3B">
        <w:rPr>
          <w:lang w:val="en-GB"/>
        </w:rPr>
        <w:t>Smith</w:t>
      </w:r>
      <w:r w:rsidR="00280083" w:rsidRPr="00951F3B">
        <w:rPr>
          <w:vertAlign w:val="superscript"/>
          <w:lang w:val="en-GB"/>
        </w:rPr>
        <w:t>b</w:t>
      </w:r>
      <w:r w:rsidRPr="00951F3B">
        <w:rPr>
          <w:lang w:val="en-GB"/>
        </w:rPr>
        <w:t xml:space="preserve">, Lennart </w:t>
      </w:r>
      <w:r w:rsidR="001C6E7E" w:rsidRPr="00951F3B">
        <w:rPr>
          <w:lang w:val="en-GB"/>
        </w:rPr>
        <w:t>Weltje</w:t>
      </w:r>
      <w:r w:rsidR="00154296">
        <w:rPr>
          <w:vertAlign w:val="superscript"/>
          <w:lang w:val="en-GB"/>
        </w:rPr>
        <w:t>m</w:t>
      </w:r>
      <w:r w:rsidRPr="00951F3B">
        <w:rPr>
          <w:lang w:val="en-GB"/>
        </w:rPr>
        <w:t>, Jörg Oehlmann</w:t>
      </w:r>
      <w:r w:rsidRPr="00951F3B">
        <w:rPr>
          <w:vertAlign w:val="superscript"/>
          <w:lang w:val="en-GB"/>
        </w:rPr>
        <w:t>a</w:t>
      </w:r>
    </w:p>
    <w:p w:rsidR="009951C6" w:rsidRPr="00951F3B" w:rsidRDefault="009951C6" w:rsidP="00280083">
      <w:pPr>
        <w:spacing w:line="480" w:lineRule="auto"/>
        <w:ind w:firstLine="708"/>
        <w:jc w:val="both"/>
        <w:rPr>
          <w:lang w:val="en-GB"/>
        </w:rPr>
      </w:pPr>
    </w:p>
    <w:p w:rsidR="009951C6" w:rsidRPr="00951F3B" w:rsidRDefault="009951C6" w:rsidP="00280083">
      <w:pPr>
        <w:spacing w:line="480" w:lineRule="auto"/>
        <w:jc w:val="both"/>
        <w:rPr>
          <w:i/>
          <w:lang w:val="en-GB"/>
        </w:rPr>
      </w:pPr>
      <w:r w:rsidRPr="00951F3B">
        <w:rPr>
          <w:vertAlign w:val="superscript"/>
          <w:lang w:val="en-GB"/>
        </w:rPr>
        <w:t xml:space="preserve">a </w:t>
      </w:r>
      <w:r w:rsidRPr="00951F3B">
        <w:rPr>
          <w:i/>
          <w:lang w:val="en-GB"/>
        </w:rPr>
        <w:t xml:space="preserve">Goethe University Frankfurt am Main, Department Aquatic Ecotoxicology, Biological Sciences Division, Max-von-Laue-Str. 13, 60348 Frankfurt, Germany. </w:t>
      </w:r>
    </w:p>
    <w:p w:rsidR="00280083" w:rsidRPr="00951F3B" w:rsidRDefault="00280083" w:rsidP="00280083">
      <w:pPr>
        <w:spacing w:line="480" w:lineRule="auto"/>
        <w:jc w:val="both"/>
        <w:rPr>
          <w:i/>
          <w:szCs w:val="20"/>
          <w:lang w:val="en-GB"/>
        </w:rPr>
      </w:pPr>
      <w:r w:rsidRPr="00951F3B">
        <w:rPr>
          <w:i/>
          <w:vertAlign w:val="superscript"/>
          <w:lang w:val="en-GB"/>
        </w:rPr>
        <w:t xml:space="preserve">b </w:t>
      </w:r>
      <w:r w:rsidRPr="00951F3B">
        <w:rPr>
          <w:i/>
          <w:lang w:val="en-GB"/>
        </w:rPr>
        <w:t xml:space="preserve">CEFAS Lowestoft Laboratory Pakefield Road, Lowestoft NR33 0HT, </w:t>
      </w:r>
      <w:r w:rsidRPr="00951F3B">
        <w:rPr>
          <w:i/>
          <w:szCs w:val="20"/>
          <w:lang w:val="en-GB"/>
        </w:rPr>
        <w:t>United Kingdom.</w:t>
      </w:r>
    </w:p>
    <w:p w:rsidR="00280083" w:rsidRPr="003D0C98" w:rsidRDefault="00280083" w:rsidP="00280083">
      <w:pPr>
        <w:spacing w:line="480" w:lineRule="auto"/>
        <w:jc w:val="both"/>
        <w:rPr>
          <w:lang w:val="en-GB"/>
        </w:rPr>
      </w:pPr>
      <w:r w:rsidRPr="00951F3B">
        <w:rPr>
          <w:i/>
          <w:vertAlign w:val="superscript"/>
          <w:lang w:val="en-GB"/>
        </w:rPr>
        <w:t>c</w:t>
      </w:r>
      <w:r w:rsidRPr="00951F3B">
        <w:rPr>
          <w:i/>
          <w:lang w:val="en-GB"/>
        </w:rPr>
        <w:t xml:space="preserve"> FERA, Sand Hutton, York, YO41 1LZ, United Kingdom</w:t>
      </w:r>
      <w:r w:rsidR="0021631E">
        <w:rPr>
          <w:lang w:val="en-GB"/>
        </w:rPr>
        <w:t>.</w:t>
      </w:r>
    </w:p>
    <w:p w:rsidR="00280083" w:rsidRPr="003D0C98" w:rsidRDefault="00280083" w:rsidP="00280083">
      <w:pPr>
        <w:spacing w:line="480" w:lineRule="auto"/>
        <w:jc w:val="both"/>
        <w:rPr>
          <w:lang w:val="en-GB"/>
        </w:rPr>
      </w:pPr>
      <w:r w:rsidRPr="00951F3B">
        <w:rPr>
          <w:i/>
          <w:vertAlign w:val="superscript"/>
          <w:lang w:val="en-GB"/>
        </w:rPr>
        <w:t xml:space="preserve">d </w:t>
      </w:r>
      <w:r w:rsidRPr="00951F3B">
        <w:rPr>
          <w:i/>
          <w:lang w:val="en-GB"/>
        </w:rPr>
        <w:t>AstraZeneca, Brixham Environmental Laboratory, Ecotoxicology, Freshwater Quarry, Brixham, Devon, TQ5 8BA, United Kingdom</w:t>
      </w:r>
      <w:r w:rsidR="0021631E">
        <w:rPr>
          <w:lang w:val="en-GB"/>
        </w:rPr>
        <w:t>.</w:t>
      </w:r>
    </w:p>
    <w:p w:rsidR="003D0C98" w:rsidRDefault="00280083" w:rsidP="00280083">
      <w:pPr>
        <w:spacing w:line="480" w:lineRule="auto"/>
        <w:jc w:val="both"/>
        <w:rPr>
          <w:i/>
        </w:rPr>
      </w:pPr>
      <w:r w:rsidRPr="000962C6">
        <w:rPr>
          <w:vertAlign w:val="superscript"/>
        </w:rPr>
        <w:t xml:space="preserve">e </w:t>
      </w:r>
      <w:r w:rsidRPr="000962C6">
        <w:rPr>
          <w:i/>
        </w:rPr>
        <w:t xml:space="preserve">INRA, Unité Expérimentale d’Ecologie et d’Ecotoxicologie, </w:t>
      </w:r>
      <w:r w:rsidR="0021631E">
        <w:rPr>
          <w:i/>
        </w:rPr>
        <w:t>65 rue de Saint-Brieuc, CS 84215, F-35042 Rennes Cedex, France</w:t>
      </w:r>
      <w:r w:rsidR="0021631E" w:rsidRPr="003D0C98">
        <w:t>.</w:t>
      </w:r>
    </w:p>
    <w:p w:rsidR="001A0166" w:rsidRPr="001A0166" w:rsidRDefault="0021631E" w:rsidP="00280083">
      <w:pPr>
        <w:spacing w:line="480" w:lineRule="auto"/>
        <w:jc w:val="both"/>
      </w:pPr>
      <w:r w:rsidRPr="000962C6" w:rsidDel="0021631E">
        <w:rPr>
          <w:i/>
        </w:rPr>
        <w:t xml:space="preserve"> </w:t>
      </w:r>
      <w:r w:rsidR="001C6E7E">
        <w:rPr>
          <w:i/>
          <w:vertAlign w:val="superscript"/>
        </w:rPr>
        <w:t xml:space="preserve">f </w:t>
      </w:r>
      <w:r w:rsidR="001C6E7E">
        <w:rPr>
          <w:i/>
        </w:rPr>
        <w:t>UMR Ecologie et Santé des Ecosystèmes, Agrocampus Ouest, 65 rue de Saint-Brieuc, CS 84215, F-35042 Rennes Cedex, France.</w:t>
      </w:r>
    </w:p>
    <w:p w:rsidR="00546C0F" w:rsidRPr="000962C6" w:rsidRDefault="001C6E7E" w:rsidP="00280083">
      <w:pPr>
        <w:spacing w:line="480" w:lineRule="auto"/>
        <w:jc w:val="both"/>
        <w:rPr>
          <w:i/>
        </w:rPr>
      </w:pPr>
      <w:r w:rsidRPr="000962C6">
        <w:rPr>
          <w:i/>
          <w:vertAlign w:val="superscript"/>
        </w:rPr>
        <w:t>g</w:t>
      </w:r>
      <w:r w:rsidR="00280083" w:rsidRPr="000962C6">
        <w:rPr>
          <w:i/>
        </w:rPr>
        <w:t xml:space="preserve"> </w:t>
      </w:r>
      <w:r w:rsidR="009951C6" w:rsidRPr="000962C6">
        <w:rPr>
          <w:i/>
        </w:rPr>
        <w:t>ECT Oekotoxikologie GmbH, Böttgerstraße 2 – 14, 65439 Flörsheim, Germany</w:t>
      </w:r>
      <w:r w:rsidR="00546C0F" w:rsidRPr="000962C6">
        <w:rPr>
          <w:i/>
        </w:rPr>
        <w:t>.</w:t>
      </w:r>
    </w:p>
    <w:p w:rsidR="009951C6" w:rsidRPr="00BA3CDA" w:rsidRDefault="001C6E7E" w:rsidP="00280083">
      <w:pPr>
        <w:spacing w:line="480" w:lineRule="auto"/>
        <w:jc w:val="both"/>
        <w:rPr>
          <w:lang w:val="en-GB"/>
        </w:rPr>
      </w:pPr>
      <w:r>
        <w:rPr>
          <w:i/>
          <w:vertAlign w:val="superscript"/>
          <w:lang w:val="en-GB"/>
        </w:rPr>
        <w:lastRenderedPageBreak/>
        <w:t>h</w:t>
      </w:r>
      <w:r w:rsidRPr="00951F3B">
        <w:rPr>
          <w:i/>
          <w:vertAlign w:val="superscript"/>
          <w:lang w:val="en-GB"/>
        </w:rPr>
        <w:t xml:space="preserve"> </w:t>
      </w:r>
      <w:r w:rsidR="009951C6" w:rsidRPr="00951F3B">
        <w:rPr>
          <w:i/>
          <w:lang w:val="en-GB"/>
        </w:rPr>
        <w:t>Department of Biology, University of Southern Denmark, Campusvej 55, 5230 Odense M, Denmark</w:t>
      </w:r>
      <w:r w:rsidR="009951C6" w:rsidRPr="003D0C98">
        <w:rPr>
          <w:lang w:val="en-GB"/>
        </w:rPr>
        <w:t xml:space="preserve">. </w:t>
      </w:r>
    </w:p>
    <w:p w:rsidR="00154296" w:rsidRPr="00951F3B" w:rsidRDefault="001C6E7E" w:rsidP="00154296">
      <w:pPr>
        <w:spacing w:line="480" w:lineRule="auto"/>
        <w:jc w:val="both"/>
        <w:rPr>
          <w:i/>
          <w:lang w:val="en-GB"/>
        </w:rPr>
      </w:pPr>
      <w:r w:rsidRPr="00951F3B">
        <w:rPr>
          <w:i/>
          <w:vertAlign w:val="superscript"/>
          <w:lang w:val="en-GB"/>
        </w:rPr>
        <w:t xml:space="preserve">i </w:t>
      </w:r>
      <w:r w:rsidR="00C2056A">
        <w:rPr>
          <w:lang w:val="en-GB"/>
        </w:rPr>
        <w:t xml:space="preserve"> </w:t>
      </w:r>
      <w:r w:rsidR="00154296" w:rsidRPr="00951F3B">
        <w:rPr>
          <w:i/>
          <w:lang w:val="en-GB"/>
        </w:rPr>
        <w:t>Norwegian Institute for Water Research, Ecotoxicology and Risk Assessment, Gaustadalléen 21, Oslo, Norway.</w:t>
      </w:r>
    </w:p>
    <w:p w:rsidR="009951C6" w:rsidRPr="00951F3B" w:rsidRDefault="001C6E7E" w:rsidP="00280083">
      <w:pPr>
        <w:spacing w:line="480" w:lineRule="auto"/>
        <w:jc w:val="both"/>
        <w:rPr>
          <w:i/>
          <w:szCs w:val="20"/>
          <w:lang w:val="en-GB"/>
        </w:rPr>
      </w:pPr>
      <w:r>
        <w:rPr>
          <w:i/>
          <w:vertAlign w:val="superscript"/>
          <w:lang w:val="en-GB"/>
        </w:rPr>
        <w:t>j</w:t>
      </w:r>
      <w:r w:rsidRPr="00951F3B">
        <w:rPr>
          <w:i/>
          <w:vertAlign w:val="superscript"/>
          <w:lang w:val="en-GB"/>
        </w:rPr>
        <w:t xml:space="preserve"> </w:t>
      </w:r>
      <w:r w:rsidR="009951C6" w:rsidRPr="00951F3B">
        <w:rPr>
          <w:i/>
          <w:lang w:val="en-GB"/>
        </w:rPr>
        <w:t xml:space="preserve">Independent Consultant, </w:t>
      </w:r>
      <w:r w:rsidR="009951C6" w:rsidRPr="00951F3B">
        <w:rPr>
          <w:i/>
          <w:szCs w:val="20"/>
          <w:lang w:val="en-GB"/>
        </w:rPr>
        <w:t>Dolfan Barn, Beulah, Llanwrtyd Wells, Powys LD5 4UE, United Kingdom.</w:t>
      </w:r>
    </w:p>
    <w:p w:rsidR="009951C6" w:rsidRPr="003D0C98" w:rsidRDefault="00154296" w:rsidP="00280083">
      <w:pPr>
        <w:spacing w:line="480" w:lineRule="auto"/>
        <w:jc w:val="both"/>
        <w:rPr>
          <w:lang w:val="en-GB"/>
        </w:rPr>
      </w:pPr>
      <w:r>
        <w:rPr>
          <w:i/>
          <w:vertAlign w:val="superscript"/>
          <w:lang w:val="en-GB"/>
        </w:rPr>
        <w:t>k</w:t>
      </w:r>
      <w:r w:rsidR="001C6E7E" w:rsidRPr="00951F3B">
        <w:rPr>
          <w:i/>
          <w:lang w:val="en-GB"/>
        </w:rPr>
        <w:t xml:space="preserve"> </w:t>
      </w:r>
      <w:r w:rsidR="009951C6" w:rsidRPr="00951F3B">
        <w:rPr>
          <w:i/>
          <w:lang w:val="en-GB"/>
        </w:rPr>
        <w:t>University of Antwerp, Ecosystem Management Research Group, Universiteitsplein 1, 2610 Wilrijk, Belgium</w:t>
      </w:r>
      <w:r w:rsidR="003D0C98">
        <w:rPr>
          <w:lang w:val="en-GB"/>
        </w:rPr>
        <w:t>.</w:t>
      </w:r>
    </w:p>
    <w:p w:rsidR="003D0C98" w:rsidRPr="000962C6" w:rsidRDefault="00154296" w:rsidP="00280083">
      <w:pPr>
        <w:spacing w:line="480" w:lineRule="auto"/>
        <w:jc w:val="both"/>
        <w:rPr>
          <w:lang w:val="en-GB"/>
        </w:rPr>
      </w:pPr>
      <w:r w:rsidRPr="000962C6">
        <w:rPr>
          <w:i/>
          <w:vertAlign w:val="superscript"/>
          <w:lang w:val="en-GB"/>
        </w:rPr>
        <w:t>l</w:t>
      </w:r>
      <w:r w:rsidR="006466B4" w:rsidRPr="000962C6">
        <w:rPr>
          <w:i/>
          <w:lang w:val="en-GB"/>
        </w:rPr>
        <w:t xml:space="preserve"> Ibacon GmbH, Institut für Biologische Analytik und Consulting, Arheilger Weg 17, 64380 Rossdorf, Germany</w:t>
      </w:r>
      <w:r w:rsidR="006466B4" w:rsidRPr="000962C6">
        <w:rPr>
          <w:lang w:val="en-GB"/>
        </w:rPr>
        <w:t>.</w:t>
      </w:r>
    </w:p>
    <w:p w:rsidR="009951C6" w:rsidRPr="00951F3B" w:rsidRDefault="00154296" w:rsidP="00280083">
      <w:pPr>
        <w:spacing w:line="480" w:lineRule="auto"/>
        <w:jc w:val="both"/>
        <w:rPr>
          <w:i/>
          <w:szCs w:val="20"/>
          <w:lang w:val="en-GB"/>
        </w:rPr>
      </w:pPr>
      <w:r>
        <w:rPr>
          <w:i/>
          <w:vertAlign w:val="superscript"/>
          <w:lang w:val="en-GB"/>
        </w:rPr>
        <w:t>m</w:t>
      </w:r>
      <w:r w:rsidR="001C6E7E" w:rsidRPr="00951F3B">
        <w:rPr>
          <w:i/>
          <w:vertAlign w:val="superscript"/>
          <w:lang w:val="en-GB"/>
        </w:rPr>
        <w:t xml:space="preserve"> </w:t>
      </w:r>
      <w:r w:rsidR="009951C6" w:rsidRPr="00951F3B">
        <w:rPr>
          <w:i/>
          <w:szCs w:val="20"/>
          <w:lang w:val="en-GB"/>
        </w:rPr>
        <w:t>BASF SE, Crop Protection – Ecotoxicology, Speyerer Strasse 2, D-67117 Limburgerhof, Germany</w:t>
      </w:r>
      <w:r w:rsidR="009951C6" w:rsidRPr="003D0C98">
        <w:rPr>
          <w:szCs w:val="20"/>
          <w:lang w:val="en-GB"/>
        </w:rPr>
        <w:t>.</w:t>
      </w:r>
    </w:p>
    <w:p w:rsidR="009951C6" w:rsidRPr="00951F3B" w:rsidRDefault="009951C6" w:rsidP="00280083">
      <w:pPr>
        <w:spacing w:line="480" w:lineRule="auto"/>
        <w:jc w:val="both"/>
        <w:rPr>
          <w:lang w:val="en-GB"/>
        </w:rPr>
      </w:pPr>
    </w:p>
    <w:p w:rsidR="009951C6" w:rsidRPr="00951F3B" w:rsidRDefault="009951C6" w:rsidP="00280083">
      <w:pPr>
        <w:spacing w:line="480" w:lineRule="auto"/>
        <w:jc w:val="both"/>
        <w:rPr>
          <w:lang w:val="en-GB"/>
        </w:rPr>
      </w:pPr>
    </w:p>
    <w:p w:rsidR="009951C6" w:rsidRPr="00951F3B" w:rsidRDefault="009951C6" w:rsidP="00280083">
      <w:pPr>
        <w:pStyle w:val="Corpsdetexte31"/>
        <w:jc w:val="both"/>
      </w:pPr>
      <w:r w:rsidRPr="00951F3B">
        <w:t>*Corresponding author</w:t>
      </w:r>
    </w:p>
    <w:p w:rsidR="009951C6" w:rsidRPr="00951F3B" w:rsidRDefault="009951C6" w:rsidP="00280083">
      <w:pPr>
        <w:pStyle w:val="Corpsdetexte31"/>
        <w:jc w:val="both"/>
      </w:pPr>
      <w:r w:rsidRPr="00951F3B">
        <w:t>Katharina Ruppert</w:t>
      </w:r>
    </w:p>
    <w:p w:rsidR="009951C6" w:rsidRPr="00951F3B" w:rsidRDefault="009951C6" w:rsidP="00280083">
      <w:pPr>
        <w:pStyle w:val="Corpsdetexte31"/>
        <w:jc w:val="both"/>
        <w:rPr>
          <w:i/>
        </w:rPr>
      </w:pPr>
      <w:r w:rsidRPr="00951F3B">
        <w:rPr>
          <w:i/>
        </w:rPr>
        <w:t>Department Aquatic Ecotoxicology, Goethe University Frankfurt am Main, Max-von-Laue-Str. 13, 60438 Frankfurt, Germany.</w:t>
      </w:r>
    </w:p>
    <w:p w:rsidR="009951C6" w:rsidRPr="00951F3B" w:rsidRDefault="009951C6" w:rsidP="00280083">
      <w:pPr>
        <w:pStyle w:val="Corpsdetexte31"/>
        <w:jc w:val="both"/>
        <w:rPr>
          <w:i/>
        </w:rPr>
      </w:pPr>
      <w:r w:rsidRPr="00951F3B">
        <w:rPr>
          <w:i/>
        </w:rPr>
        <w:t>k.ruppert@bio.uni-frankfurt.de</w:t>
      </w:r>
    </w:p>
    <w:p w:rsidR="009951C6" w:rsidRPr="00951F3B" w:rsidRDefault="009951C6" w:rsidP="00280083">
      <w:pPr>
        <w:pStyle w:val="Corpsdetexte31"/>
        <w:jc w:val="both"/>
        <w:rPr>
          <w:i/>
        </w:rPr>
      </w:pPr>
      <w:r w:rsidRPr="00951F3B">
        <w:rPr>
          <w:i/>
        </w:rPr>
        <w:t>phone: +49-69-79842153</w:t>
      </w:r>
    </w:p>
    <w:p w:rsidR="009951C6" w:rsidRPr="00951F3B" w:rsidRDefault="009951C6" w:rsidP="00280083">
      <w:pPr>
        <w:pageBreakBefore/>
        <w:spacing w:line="480" w:lineRule="auto"/>
        <w:ind w:firstLine="708"/>
        <w:jc w:val="both"/>
        <w:rPr>
          <w:b/>
          <w:lang w:val="en-GB"/>
        </w:rPr>
      </w:pPr>
      <w:r w:rsidRPr="00951F3B">
        <w:rPr>
          <w:b/>
          <w:lang w:val="en-GB"/>
        </w:rPr>
        <w:lastRenderedPageBreak/>
        <w:t>ABSTRACT</w:t>
      </w:r>
    </w:p>
    <w:p w:rsidR="009951C6" w:rsidRPr="00951F3B" w:rsidRDefault="009951C6" w:rsidP="00280083">
      <w:pPr>
        <w:pStyle w:val="Retraitcorpsdetexte21"/>
        <w:ind w:firstLine="0"/>
        <w:jc w:val="both"/>
      </w:pPr>
      <w:r w:rsidRPr="00951F3B">
        <w:t xml:space="preserve">Molluscs are known to be uniquely sensitive to a number of </w:t>
      </w:r>
      <w:r w:rsidR="00CC4131" w:rsidRPr="00951F3B">
        <w:t xml:space="preserve">reproductive toxicants including </w:t>
      </w:r>
      <w:r w:rsidR="001C6E7E">
        <w:t xml:space="preserve">some vertebrate </w:t>
      </w:r>
      <w:r w:rsidRPr="00951F3B">
        <w:t xml:space="preserve">endocrine disrupting chemicals. However, they have widely been ignored in environmental risk assessment procedures for chemicals. The present study </w:t>
      </w:r>
      <w:r w:rsidR="001C6E7E">
        <w:t>describes the</w:t>
      </w:r>
      <w:r w:rsidRPr="00951F3B">
        <w:t xml:space="preserve"> develop</w:t>
      </w:r>
      <w:r w:rsidR="001C6E7E">
        <w:t>ment</w:t>
      </w:r>
      <w:r w:rsidRPr="00951F3B">
        <w:t xml:space="preserve"> and </w:t>
      </w:r>
      <w:r w:rsidR="001C6E7E" w:rsidRPr="00951F3B">
        <w:t>validat</w:t>
      </w:r>
      <w:r w:rsidR="001C6E7E">
        <w:t>ion of</w:t>
      </w:r>
      <w:r w:rsidR="001C6E7E" w:rsidRPr="00951F3B">
        <w:t xml:space="preserve"> </w:t>
      </w:r>
      <w:r w:rsidRPr="00951F3B">
        <w:t xml:space="preserve">the </w:t>
      </w:r>
      <w:r w:rsidR="001C6E7E">
        <w:t xml:space="preserve">New Zealand mudsnail </w:t>
      </w:r>
      <w:r w:rsidRPr="00951F3B">
        <w:rPr>
          <w:i/>
        </w:rPr>
        <w:t>P</w:t>
      </w:r>
      <w:r w:rsidR="00B67653">
        <w:rPr>
          <w:i/>
        </w:rPr>
        <w:t>otamopyrgus</w:t>
      </w:r>
      <w:r w:rsidRPr="00951F3B">
        <w:rPr>
          <w:i/>
        </w:rPr>
        <w:t xml:space="preserve"> antipodarum</w:t>
      </w:r>
      <w:r w:rsidRPr="00951F3B">
        <w:t xml:space="preserve"> reproduction test within the OECD Conceptual Framework for Endocrine Disrupters Testing and Assessment. The number of embryos in the brood pouch, reflecting the individual reproduction effort in snails, and adult mortality serve as main endpoints. In this study the results of two validation studies of the reproduction test with eleven laboratories and the chemicals tributyltin (TBT) with nominal concentrations of 10 - 1000 ng TBT-Sn/L and cadmium with concentrations of 1.56 - 25 µg/L are presented. </w:t>
      </w:r>
    </w:p>
    <w:p w:rsidR="009951C6" w:rsidRPr="00951F3B" w:rsidRDefault="009951C6" w:rsidP="00280083">
      <w:pPr>
        <w:pStyle w:val="Retraitcorpsdetexte21"/>
        <w:ind w:firstLine="0"/>
        <w:jc w:val="both"/>
      </w:pPr>
      <w:r w:rsidRPr="00951F3B">
        <w:t>The proposed test design could be implemented by all participating laboratories resulting in comparable effect concentrations. After TBT exposure mean EC</w:t>
      </w:r>
      <w:r w:rsidRPr="00951F3B">
        <w:rPr>
          <w:vertAlign w:val="subscript"/>
        </w:rPr>
        <w:t>10</w:t>
      </w:r>
      <w:r w:rsidRPr="00951F3B">
        <w:t>, EC</w:t>
      </w:r>
      <w:r w:rsidRPr="00951F3B">
        <w:rPr>
          <w:vertAlign w:val="subscript"/>
        </w:rPr>
        <w:t>50</w:t>
      </w:r>
      <w:r w:rsidRPr="00951F3B">
        <w:t xml:space="preserve">, NOEC and LOEC (with coefficient of variation) </w:t>
      </w:r>
      <w:r w:rsidR="00A0531B">
        <w:t>were</w:t>
      </w:r>
      <w:r w:rsidRPr="00951F3B">
        <w:t xml:space="preserve"> 35.6 ng Sn/L (76.9%), 127 ng Sn/L (39.3%), 39.2 ng Sn/L (68.3%) and 75.7 ng Sn/L (77.0%), respectively. Mean effect concentrations in cadmium exposed snails were 6.53 µg/L (35.5%), 14.2 µg/L (21.8%), 6.45 µg/L (50.5%) and 12.6 µg/L (42.2%).</w:t>
      </w:r>
    </w:p>
    <w:p w:rsidR="009951C6" w:rsidRPr="00951F3B" w:rsidRDefault="009951C6" w:rsidP="00280083">
      <w:pPr>
        <w:pStyle w:val="Retraitcorpsdetexte21"/>
        <w:ind w:firstLine="0"/>
        <w:jc w:val="both"/>
      </w:pPr>
      <w:r w:rsidRPr="00951F3B">
        <w:t>The effect concentrations for TBT and cadmium are in good accordance with already published data</w:t>
      </w:r>
      <w:r w:rsidR="00271E27">
        <w:t xml:space="preserve"> for </w:t>
      </w:r>
      <w:r w:rsidR="00271E27">
        <w:rPr>
          <w:i/>
        </w:rPr>
        <w:t>P. antipodarum</w:t>
      </w:r>
      <w:r w:rsidRPr="00951F3B">
        <w:t xml:space="preserve">. Both validation studies show that the reproduction test with </w:t>
      </w:r>
      <w:r w:rsidRPr="00951F3B">
        <w:rPr>
          <w:i/>
        </w:rPr>
        <w:t>P. antipodarum</w:t>
      </w:r>
      <w:r w:rsidRPr="00951F3B">
        <w:t xml:space="preserve"> is a well suited tool to assess </w:t>
      </w:r>
      <w:r w:rsidR="00016BEF">
        <w:t xml:space="preserve">reproductive </w:t>
      </w:r>
      <w:r w:rsidRPr="00951F3B">
        <w:t>effects of chemicals.</w:t>
      </w:r>
    </w:p>
    <w:p w:rsidR="009951C6" w:rsidRPr="00951F3B" w:rsidRDefault="009951C6" w:rsidP="00280083">
      <w:pPr>
        <w:pStyle w:val="Retraitcorpsdetexte21"/>
        <w:ind w:firstLine="0"/>
        <w:jc w:val="both"/>
      </w:pPr>
    </w:p>
    <w:p w:rsidR="009951C6" w:rsidRPr="000962C6" w:rsidRDefault="009951C6" w:rsidP="00280083">
      <w:pPr>
        <w:spacing w:line="480" w:lineRule="auto"/>
        <w:jc w:val="both"/>
        <w:rPr>
          <w:i/>
        </w:rPr>
      </w:pPr>
      <w:r w:rsidRPr="000962C6">
        <w:rPr>
          <w:i/>
        </w:rPr>
        <w:t xml:space="preserve">Keywords: </w:t>
      </w:r>
      <w:r w:rsidR="00850F5D" w:rsidRPr="000962C6">
        <w:rPr>
          <w:i/>
        </w:rPr>
        <w:t>Standardisation</w:t>
      </w:r>
      <w:r w:rsidRPr="000962C6">
        <w:rPr>
          <w:i/>
        </w:rPr>
        <w:t xml:space="preserve">, </w:t>
      </w:r>
      <w:r w:rsidR="00B67653" w:rsidRPr="000962C6">
        <w:rPr>
          <w:i/>
        </w:rPr>
        <w:t>Mollusc</w:t>
      </w:r>
      <w:r w:rsidRPr="000962C6">
        <w:rPr>
          <w:i/>
        </w:rPr>
        <w:t>, Reproduction</w:t>
      </w:r>
      <w:r w:rsidR="00CC4131" w:rsidRPr="000962C6">
        <w:rPr>
          <w:i/>
        </w:rPr>
        <w:t xml:space="preserve">, </w:t>
      </w:r>
      <w:r w:rsidR="00E378A6" w:rsidRPr="000962C6">
        <w:rPr>
          <w:i/>
        </w:rPr>
        <w:t xml:space="preserve">Endocrine Disruption, </w:t>
      </w:r>
      <w:r w:rsidR="00CC4131" w:rsidRPr="000962C6">
        <w:rPr>
          <w:i/>
        </w:rPr>
        <w:t>Tributyltin, Cadmium</w:t>
      </w:r>
      <w:r w:rsidRPr="000962C6">
        <w:rPr>
          <w:i/>
        </w:rPr>
        <w:t>.</w:t>
      </w:r>
    </w:p>
    <w:p w:rsidR="009951C6" w:rsidRPr="000962C6" w:rsidRDefault="009951C6" w:rsidP="00280083">
      <w:pPr>
        <w:spacing w:line="480" w:lineRule="auto"/>
        <w:jc w:val="both"/>
        <w:rPr>
          <w:i/>
        </w:rPr>
      </w:pPr>
    </w:p>
    <w:p w:rsidR="009951C6" w:rsidRPr="00951F3B" w:rsidRDefault="009951C6" w:rsidP="00280083">
      <w:pPr>
        <w:spacing w:line="480" w:lineRule="auto"/>
        <w:jc w:val="both"/>
        <w:rPr>
          <w:i/>
          <w:lang w:val="en-GB"/>
        </w:rPr>
      </w:pPr>
      <w:r w:rsidRPr="00951F3B">
        <w:rPr>
          <w:i/>
          <w:lang w:val="en-GB"/>
        </w:rPr>
        <w:t>Highlights:</w:t>
      </w:r>
    </w:p>
    <w:p w:rsidR="009951C6" w:rsidRPr="00951F3B" w:rsidRDefault="009951C6" w:rsidP="00280083">
      <w:pPr>
        <w:numPr>
          <w:ilvl w:val="0"/>
          <w:numId w:val="3"/>
        </w:numPr>
        <w:spacing w:line="480" w:lineRule="auto"/>
        <w:ind w:left="284" w:firstLine="0"/>
        <w:jc w:val="both"/>
        <w:rPr>
          <w:i/>
          <w:iCs/>
          <w:lang w:val="en-GB"/>
        </w:rPr>
      </w:pPr>
      <w:r w:rsidRPr="00951F3B">
        <w:rPr>
          <w:i/>
          <w:lang w:val="en-GB"/>
        </w:rPr>
        <w:lastRenderedPageBreak/>
        <w:t xml:space="preserve">A new OECD reproductive toxicity test guideline with </w:t>
      </w:r>
      <w:r w:rsidR="004F6402">
        <w:rPr>
          <w:i/>
          <w:lang w:val="en-GB"/>
        </w:rPr>
        <w:t xml:space="preserve">the New Zealand mudsnail </w:t>
      </w:r>
      <w:r w:rsidR="004F6402">
        <w:rPr>
          <w:lang w:val="en-GB"/>
        </w:rPr>
        <w:t>Potamopyrgus</w:t>
      </w:r>
      <w:r w:rsidR="009A0F8D" w:rsidRPr="00951F3B">
        <w:rPr>
          <w:lang w:val="en-GB"/>
        </w:rPr>
        <w:t> antipodarum</w:t>
      </w:r>
      <w:r w:rsidRPr="00951F3B">
        <w:rPr>
          <w:i/>
          <w:lang w:val="en-GB"/>
        </w:rPr>
        <w:t xml:space="preserve"> has been developed</w:t>
      </w:r>
    </w:p>
    <w:p w:rsidR="009951C6" w:rsidRPr="00951F3B" w:rsidRDefault="009951C6" w:rsidP="00280083">
      <w:pPr>
        <w:numPr>
          <w:ilvl w:val="0"/>
          <w:numId w:val="3"/>
        </w:numPr>
        <w:spacing w:line="480" w:lineRule="auto"/>
        <w:ind w:left="284" w:firstLine="0"/>
        <w:jc w:val="both"/>
        <w:rPr>
          <w:i/>
          <w:iCs/>
          <w:lang w:val="en-GB"/>
        </w:rPr>
      </w:pPr>
      <w:r w:rsidRPr="00951F3B">
        <w:rPr>
          <w:i/>
          <w:lang w:val="en-GB"/>
        </w:rPr>
        <w:t>A draft test protocol was used to assess effects of cadmium and TBT in 11 laboratories in a validation study</w:t>
      </w:r>
    </w:p>
    <w:p w:rsidR="009951C6" w:rsidRPr="00951F3B" w:rsidRDefault="009951C6" w:rsidP="00280083">
      <w:pPr>
        <w:numPr>
          <w:ilvl w:val="0"/>
          <w:numId w:val="3"/>
        </w:numPr>
        <w:spacing w:line="480" w:lineRule="auto"/>
        <w:ind w:left="284" w:firstLine="0"/>
        <w:jc w:val="both"/>
        <w:rPr>
          <w:i/>
          <w:iCs/>
          <w:lang w:val="en-GB"/>
        </w:rPr>
      </w:pPr>
      <w:r w:rsidRPr="00951F3B">
        <w:rPr>
          <w:i/>
          <w:lang w:val="en-GB"/>
        </w:rPr>
        <w:t>Effect values were reproducible and consistent with literature data</w:t>
      </w:r>
    </w:p>
    <w:p w:rsidR="009951C6" w:rsidRPr="00951F3B" w:rsidRDefault="009951C6" w:rsidP="00280083">
      <w:pPr>
        <w:numPr>
          <w:ilvl w:val="0"/>
          <w:numId w:val="3"/>
        </w:numPr>
        <w:spacing w:line="480" w:lineRule="auto"/>
        <w:ind w:left="284" w:firstLine="0"/>
        <w:jc w:val="both"/>
        <w:rPr>
          <w:i/>
          <w:iCs/>
          <w:lang w:val="en-GB"/>
        </w:rPr>
      </w:pPr>
      <w:r w:rsidRPr="00951F3B">
        <w:rPr>
          <w:i/>
          <w:lang w:val="en-GB"/>
        </w:rPr>
        <w:t xml:space="preserve">Successful validation of the protocol was acknowledged by OECD by final acceptance </w:t>
      </w:r>
      <w:r w:rsidR="00CC4131" w:rsidRPr="00951F3B">
        <w:rPr>
          <w:i/>
          <w:lang w:val="en-GB"/>
        </w:rPr>
        <w:t xml:space="preserve">of the test guideline </w:t>
      </w:r>
      <w:r w:rsidRPr="00951F3B">
        <w:rPr>
          <w:i/>
          <w:lang w:val="en-GB"/>
        </w:rPr>
        <w:t>in 2016</w:t>
      </w:r>
    </w:p>
    <w:p w:rsidR="009951C6" w:rsidRPr="00951F3B" w:rsidRDefault="009951C6" w:rsidP="00280083">
      <w:pPr>
        <w:pStyle w:val="Heading1"/>
        <w:rPr>
          <w:lang w:val="en-GB"/>
        </w:rPr>
      </w:pPr>
      <w:r w:rsidRPr="00951F3B">
        <w:rPr>
          <w:lang w:val="en-GB"/>
        </w:rPr>
        <w:lastRenderedPageBreak/>
        <w:t>INTRODUCTION</w:t>
      </w:r>
    </w:p>
    <w:p w:rsidR="009951C6" w:rsidRPr="00951F3B" w:rsidRDefault="009951C6" w:rsidP="00280083">
      <w:pPr>
        <w:spacing w:line="480" w:lineRule="auto"/>
        <w:jc w:val="both"/>
        <w:rPr>
          <w:lang w:val="en-GB"/>
        </w:rPr>
      </w:pPr>
      <w:r w:rsidRPr="00951F3B">
        <w:rPr>
          <w:lang w:val="en-GB"/>
        </w:rPr>
        <w:t xml:space="preserve">The Organisation for Economic Co-operation and Development (OECD) is </w:t>
      </w:r>
      <w:r w:rsidR="004F6402">
        <w:rPr>
          <w:lang w:val="en-GB"/>
        </w:rPr>
        <w:t xml:space="preserve">one of </w:t>
      </w:r>
      <w:r w:rsidRPr="00951F3B">
        <w:rPr>
          <w:lang w:val="en-GB"/>
        </w:rPr>
        <w:t xml:space="preserve">the focal </w:t>
      </w:r>
      <w:r w:rsidR="004F6402">
        <w:rPr>
          <w:lang w:val="en-GB"/>
        </w:rPr>
        <w:t>institutions</w:t>
      </w:r>
      <w:r w:rsidR="004F6402" w:rsidRPr="00951F3B">
        <w:rPr>
          <w:lang w:val="en-GB"/>
        </w:rPr>
        <w:t xml:space="preserve"> </w:t>
      </w:r>
      <w:r w:rsidRPr="00951F3B">
        <w:rPr>
          <w:lang w:val="en-GB"/>
        </w:rPr>
        <w:t xml:space="preserve">for the harmonization of test methods that are used for the risk assessment of chemicals </w:t>
      </w:r>
      <w:r w:rsidRPr="00951F3B">
        <w:rPr>
          <w:noProof/>
          <w:lang w:val="en-GB"/>
        </w:rPr>
        <w:t>(Gourmelon and Ahtiainen, 2007)</w:t>
      </w:r>
      <w:r w:rsidRPr="00951F3B">
        <w:rPr>
          <w:lang w:val="en-GB"/>
        </w:rPr>
        <w:t xml:space="preserve">. In 2002 the Conceptual Framework for Endocrine Disrupters Testing and Assessment was agreed by the OECD providing a guide to the available </w:t>
      </w:r>
      <w:r w:rsidRPr="00951F3B">
        <w:rPr>
          <w:i/>
          <w:lang w:val="en-GB"/>
        </w:rPr>
        <w:t>in silico</w:t>
      </w:r>
      <w:r w:rsidRPr="00951F3B">
        <w:rPr>
          <w:lang w:val="en-GB"/>
        </w:rPr>
        <w:t xml:space="preserve">, </w:t>
      </w:r>
      <w:r w:rsidRPr="00951F3B">
        <w:rPr>
          <w:i/>
          <w:lang w:val="en-GB"/>
        </w:rPr>
        <w:t>in vitro</w:t>
      </w:r>
      <w:r w:rsidRPr="00951F3B">
        <w:rPr>
          <w:lang w:val="en-GB"/>
        </w:rPr>
        <w:t xml:space="preserve"> and </w:t>
      </w:r>
      <w:r w:rsidRPr="00951F3B">
        <w:rPr>
          <w:i/>
          <w:lang w:val="en-GB"/>
        </w:rPr>
        <w:t>in vivo</w:t>
      </w:r>
      <w:r w:rsidRPr="00951F3B">
        <w:rPr>
          <w:lang w:val="en-GB"/>
        </w:rPr>
        <w:t xml:space="preserve"> tests giving information for the assessment of endocrine disrupters with 5 levels of increasing complexity. Tests on invertebrate</w:t>
      </w:r>
      <w:r w:rsidR="00A0531B">
        <w:rPr>
          <w:lang w:val="en-GB"/>
        </w:rPr>
        <w:t>s</w:t>
      </w:r>
      <w:r w:rsidRPr="00951F3B">
        <w:rPr>
          <w:lang w:val="en-GB"/>
        </w:rPr>
        <w:t xml:space="preserve"> belong to </w:t>
      </w:r>
      <w:r w:rsidR="00546C0F">
        <w:rPr>
          <w:lang w:val="en-GB"/>
        </w:rPr>
        <w:t>l</w:t>
      </w:r>
      <w:r w:rsidR="00546C0F" w:rsidRPr="00951F3B">
        <w:rPr>
          <w:lang w:val="en-GB"/>
        </w:rPr>
        <w:t xml:space="preserve">evel </w:t>
      </w:r>
      <w:r w:rsidRPr="00951F3B">
        <w:rPr>
          <w:lang w:val="en-GB"/>
        </w:rPr>
        <w:t xml:space="preserve">4 and 5 of the Conceptual Framework </w:t>
      </w:r>
      <w:r w:rsidR="004F6402">
        <w:rPr>
          <w:lang w:val="en-GB"/>
        </w:rPr>
        <w:t xml:space="preserve">and </w:t>
      </w:r>
      <w:r w:rsidR="004F6402" w:rsidRPr="00951F3B">
        <w:rPr>
          <w:lang w:val="en-GB"/>
        </w:rPr>
        <w:t>provid</w:t>
      </w:r>
      <w:r w:rsidR="004F6402">
        <w:rPr>
          <w:lang w:val="en-GB"/>
        </w:rPr>
        <w:t>e</w:t>
      </w:r>
      <w:r w:rsidR="004F6402" w:rsidRPr="00951F3B">
        <w:rPr>
          <w:lang w:val="en-GB"/>
        </w:rPr>
        <w:t xml:space="preserve"> </w:t>
      </w:r>
      <w:r w:rsidRPr="00951F3B">
        <w:rPr>
          <w:lang w:val="en-GB"/>
        </w:rPr>
        <w:t xml:space="preserve">data on </w:t>
      </w:r>
      <w:r w:rsidR="004F6402">
        <w:rPr>
          <w:lang w:val="en-GB"/>
        </w:rPr>
        <w:t>adverse effects on endocrine relevant endpoints (e.g. reproduction</w:t>
      </w:r>
      <w:r w:rsidR="00A0531B">
        <w:rPr>
          <w:lang w:val="en-GB"/>
        </w:rPr>
        <w:t>)</w:t>
      </w:r>
      <w:r w:rsidR="004F6402">
        <w:rPr>
          <w:lang w:val="en-GB"/>
        </w:rPr>
        <w:t xml:space="preserve">, although these tests are not </w:t>
      </w:r>
      <w:r w:rsidR="004B1E83">
        <w:rPr>
          <w:lang w:val="en-GB"/>
        </w:rPr>
        <w:t xml:space="preserve">of </w:t>
      </w:r>
      <w:r w:rsidR="004F6402">
        <w:rPr>
          <w:lang w:val="en-GB"/>
        </w:rPr>
        <w:t xml:space="preserve">mechanistic nature: they may respond to </w:t>
      </w:r>
      <w:r w:rsidR="004B1E83">
        <w:rPr>
          <w:lang w:val="en-GB"/>
        </w:rPr>
        <w:t>various</w:t>
      </w:r>
      <w:r w:rsidR="004F6402">
        <w:rPr>
          <w:lang w:val="en-GB"/>
        </w:rPr>
        <w:t xml:space="preserve"> mechanism</w:t>
      </w:r>
      <w:r w:rsidR="004B1E83">
        <w:rPr>
          <w:lang w:val="en-GB"/>
        </w:rPr>
        <w:t>s</w:t>
      </w:r>
      <w:r w:rsidR="004F6402">
        <w:rPr>
          <w:lang w:val="en-GB"/>
        </w:rPr>
        <w:t xml:space="preserve"> and may</w:t>
      </w:r>
      <w:r w:rsidR="004B1E83">
        <w:rPr>
          <w:lang w:val="en-GB"/>
        </w:rPr>
        <w:t xml:space="preserve"> therefore </w:t>
      </w:r>
      <w:r w:rsidR="007244C6">
        <w:rPr>
          <w:lang w:val="en-GB"/>
        </w:rPr>
        <w:t xml:space="preserve">also </w:t>
      </w:r>
      <w:r w:rsidR="004B1E83">
        <w:rPr>
          <w:lang w:val="en-GB"/>
        </w:rPr>
        <w:t xml:space="preserve">cover </w:t>
      </w:r>
      <w:r w:rsidR="004F6402">
        <w:rPr>
          <w:lang w:val="en-GB"/>
        </w:rPr>
        <w:t>non-endocrine disrupting mechanisms</w:t>
      </w:r>
      <w:r w:rsidR="004B1E83">
        <w:rPr>
          <w:lang w:val="en-GB"/>
        </w:rPr>
        <w:t xml:space="preserve"> </w:t>
      </w:r>
      <w:r w:rsidRPr="00951F3B">
        <w:rPr>
          <w:noProof/>
          <w:lang w:val="en-GB"/>
        </w:rPr>
        <w:t>(OECD, 2012a)</w:t>
      </w:r>
      <w:r w:rsidRPr="00951F3B">
        <w:rPr>
          <w:lang w:val="en-GB"/>
        </w:rPr>
        <w:t xml:space="preserve">. They comprise species </w:t>
      </w:r>
      <w:r w:rsidR="004F6402">
        <w:rPr>
          <w:lang w:val="en-GB"/>
        </w:rPr>
        <w:t>like</w:t>
      </w:r>
      <w:r w:rsidRPr="00951F3B">
        <w:rPr>
          <w:lang w:val="en-GB"/>
        </w:rPr>
        <w:t xml:space="preserve"> </w:t>
      </w:r>
      <w:r w:rsidRPr="00951F3B">
        <w:rPr>
          <w:i/>
          <w:lang w:val="en-GB"/>
        </w:rPr>
        <w:t>Daphnia magna</w:t>
      </w:r>
      <w:r w:rsidRPr="00951F3B">
        <w:rPr>
          <w:lang w:val="en-GB"/>
        </w:rPr>
        <w:t xml:space="preserve">, </w:t>
      </w:r>
      <w:r w:rsidRPr="00951F3B">
        <w:rPr>
          <w:i/>
          <w:lang w:val="en-GB"/>
        </w:rPr>
        <w:t>Chironomus riparius</w:t>
      </w:r>
      <w:r w:rsidRPr="00951F3B">
        <w:rPr>
          <w:lang w:val="en-GB"/>
        </w:rPr>
        <w:t xml:space="preserve"> and </w:t>
      </w:r>
      <w:r w:rsidRPr="00951F3B">
        <w:rPr>
          <w:i/>
          <w:lang w:val="en-GB"/>
        </w:rPr>
        <w:t xml:space="preserve">Lumbriculus variegatus. </w:t>
      </w:r>
      <w:r w:rsidRPr="00951F3B">
        <w:rPr>
          <w:lang w:val="en-GB"/>
        </w:rPr>
        <w:t>So far, a standard test for routine chemical testing with the species-rich phylum of molluscs has not yet been established within the Conceptual Framework, although molluscs are ecologically crucial organisms, which are essential to the biosphere and to the human economy</w:t>
      </w:r>
      <w:r w:rsidR="00973723">
        <w:rPr>
          <w:lang w:val="en-GB"/>
        </w:rPr>
        <w:t xml:space="preserve"> (i.e. the shellfish industry)</w:t>
      </w:r>
      <w:r w:rsidRPr="00951F3B">
        <w:rPr>
          <w:lang w:val="en-GB"/>
        </w:rPr>
        <w:t xml:space="preserve">. Furthermore, they are </w:t>
      </w:r>
      <w:r w:rsidR="004F6402">
        <w:rPr>
          <w:lang w:val="en-GB"/>
        </w:rPr>
        <w:t>highly</w:t>
      </w:r>
      <w:r w:rsidRPr="00951F3B">
        <w:rPr>
          <w:lang w:val="en-GB"/>
        </w:rPr>
        <w:t xml:space="preserve"> sensitive to a number of endocrine disrupting chemicals (e.g. organotins) and other reproductive toxicants </w:t>
      </w:r>
      <w:r w:rsidRPr="00951F3B">
        <w:rPr>
          <w:noProof/>
          <w:lang w:val="en-GB"/>
        </w:rPr>
        <w:t>(Duft et al., 2007; Jorge et al., 2013; Matthiessen, 2008)</w:t>
      </w:r>
      <w:r w:rsidRPr="00951F3B">
        <w:rPr>
          <w:lang w:val="en-GB"/>
        </w:rPr>
        <w:t xml:space="preserve">. To close this gap OECD welcomed and supported the development of standard reproduction tests with mollusc species </w:t>
      </w:r>
      <w:r w:rsidRPr="00951F3B">
        <w:rPr>
          <w:noProof/>
          <w:lang w:val="en-GB"/>
        </w:rPr>
        <w:t>(Gourmelon and Ahtiainen, 2007; Matthiessen, 2008)</w:t>
      </w:r>
      <w:r w:rsidRPr="00951F3B">
        <w:rPr>
          <w:lang w:val="en-GB"/>
        </w:rPr>
        <w:t xml:space="preserve">. </w:t>
      </w:r>
      <w:r w:rsidR="001945DE">
        <w:rPr>
          <w:lang w:val="en-GB"/>
        </w:rPr>
        <w:t>In 2008</w:t>
      </w:r>
      <w:r w:rsidR="00C2275C">
        <w:rPr>
          <w:lang w:val="en-GB"/>
        </w:rPr>
        <w:t>,</w:t>
      </w:r>
      <w:r w:rsidR="001945DE">
        <w:rPr>
          <w:lang w:val="en-GB"/>
        </w:rPr>
        <w:t xml:space="preserve"> t</w:t>
      </w:r>
      <w:r w:rsidRPr="00951F3B">
        <w:rPr>
          <w:lang w:val="en-GB"/>
        </w:rPr>
        <w:t xml:space="preserve">he German Environment Agency and the Department for Environment, Food and Rural Affairs of the United Kingdom started the coordination for test method development. As a first step a detailed review paper on Molluscs Life-cycle Toxicity Testing was prepared summarising the state of knowledge on mollusc testing and proposing possible test designs and test species </w:t>
      </w:r>
      <w:r w:rsidRPr="00951F3B">
        <w:rPr>
          <w:noProof/>
          <w:lang w:val="en-GB"/>
        </w:rPr>
        <w:t>(OECD, 2010a)</w:t>
      </w:r>
      <w:r w:rsidRPr="00951F3B">
        <w:rPr>
          <w:lang w:val="en-GB"/>
        </w:rPr>
        <w:t xml:space="preserve">. The most promising candidate species for a standardised test guideline were the New Zealand mudsnail </w:t>
      </w:r>
      <w:r w:rsidRPr="00951F3B">
        <w:rPr>
          <w:i/>
          <w:lang w:val="en-GB"/>
        </w:rPr>
        <w:t xml:space="preserve">Potamopyrgus antipodarum </w:t>
      </w:r>
      <w:r w:rsidRPr="00951F3B">
        <w:rPr>
          <w:lang w:val="en-GB"/>
        </w:rPr>
        <w:t xml:space="preserve">(Gastropoda: Hydrobiidae), the pond snail </w:t>
      </w:r>
      <w:r w:rsidRPr="00951F3B">
        <w:rPr>
          <w:i/>
          <w:lang w:val="en-GB"/>
        </w:rPr>
        <w:t>Lymnaea stagnalis</w:t>
      </w:r>
      <w:r w:rsidRPr="00951F3B">
        <w:rPr>
          <w:lang w:val="en-GB"/>
        </w:rPr>
        <w:t xml:space="preserve"> (Gastropoda: Lymnaeidae) and the Pacific oyster </w:t>
      </w:r>
      <w:r w:rsidRPr="00951F3B">
        <w:rPr>
          <w:i/>
          <w:lang w:val="en-GB"/>
        </w:rPr>
        <w:t xml:space="preserve">Crassostrea gigas </w:t>
      </w:r>
      <w:r w:rsidRPr="00951F3B">
        <w:rPr>
          <w:lang w:val="en-GB"/>
        </w:rPr>
        <w:lastRenderedPageBreak/>
        <w:t xml:space="preserve">(Bivalvia: Ostreidae). In 2011, the leading countries Germany, United Kingdom, France and Denmark promoted the inclusion of the development and validation of new test guidelines on mollusc reproductive toxicity testing within the OECD test guideline programme (project 2.36) </w:t>
      </w:r>
      <w:r w:rsidRPr="00951F3B">
        <w:rPr>
          <w:noProof/>
          <w:lang w:val="en-GB"/>
        </w:rPr>
        <w:t>(OECD, 2015)</w:t>
      </w:r>
      <w:r w:rsidRPr="00951F3B">
        <w:rPr>
          <w:lang w:val="en-GB"/>
        </w:rPr>
        <w:t xml:space="preserve">. In a collaborative work between academia, industry and government the test protocols with the two gastropod species </w:t>
      </w:r>
      <w:r w:rsidRPr="00951F3B">
        <w:rPr>
          <w:i/>
          <w:lang w:val="en-GB"/>
        </w:rPr>
        <w:t>P. antipodarum</w:t>
      </w:r>
      <w:r w:rsidRPr="00951F3B">
        <w:rPr>
          <w:lang w:val="en-GB"/>
        </w:rPr>
        <w:t xml:space="preserve"> and </w:t>
      </w:r>
      <w:r w:rsidRPr="00951F3B">
        <w:rPr>
          <w:i/>
          <w:lang w:val="en-GB"/>
        </w:rPr>
        <w:t>L. stagnalis</w:t>
      </w:r>
      <w:r w:rsidRPr="00951F3B">
        <w:rPr>
          <w:lang w:val="en-GB"/>
        </w:rPr>
        <w:t xml:space="preserve"> were successfully optimised, pre-validated and validated </w:t>
      </w:r>
      <w:r w:rsidRPr="00951F3B">
        <w:rPr>
          <w:noProof/>
          <w:lang w:val="en-GB"/>
        </w:rPr>
        <w:t>(Ducrot et al., 2014; OECD, 2015</w:t>
      </w:r>
      <w:r w:rsidR="0066313D">
        <w:rPr>
          <w:noProof/>
          <w:lang w:val="en-GB"/>
        </w:rPr>
        <w:t>, Charles et al., 2016</w:t>
      </w:r>
      <w:r w:rsidRPr="00951F3B">
        <w:rPr>
          <w:noProof/>
          <w:lang w:val="en-GB"/>
        </w:rPr>
        <w:t>)</w:t>
      </w:r>
      <w:r w:rsidR="00973723">
        <w:rPr>
          <w:noProof/>
          <w:lang w:val="en-GB"/>
        </w:rPr>
        <w:t>,</w:t>
      </w:r>
      <w:r w:rsidRPr="00951F3B">
        <w:rPr>
          <w:lang w:val="en-GB"/>
        </w:rPr>
        <w:t xml:space="preserve"> an intensive process including data mining, method standardization and optimization, and </w:t>
      </w:r>
      <w:r w:rsidR="00973723" w:rsidRPr="00951F3B">
        <w:rPr>
          <w:lang w:val="en-GB"/>
        </w:rPr>
        <w:t>r</w:t>
      </w:r>
      <w:r w:rsidR="00973723">
        <w:rPr>
          <w:lang w:val="en-GB"/>
        </w:rPr>
        <w:t>ing</w:t>
      </w:r>
      <w:r w:rsidR="00973723" w:rsidRPr="00951F3B">
        <w:rPr>
          <w:lang w:val="en-GB"/>
        </w:rPr>
        <w:t xml:space="preserve"> </w:t>
      </w:r>
      <w:r w:rsidRPr="00951F3B">
        <w:rPr>
          <w:lang w:val="en-GB"/>
        </w:rPr>
        <w:t>tests</w:t>
      </w:r>
      <w:r w:rsidRPr="000962C6">
        <w:rPr>
          <w:lang w:val="en-GB"/>
        </w:rPr>
        <w:t xml:space="preserve"> </w:t>
      </w:r>
      <w:r w:rsidRPr="00951F3B">
        <w:rPr>
          <w:noProof/>
          <w:lang w:val="en-GB"/>
        </w:rPr>
        <w:t>(OECD, 2005)</w:t>
      </w:r>
      <w:r w:rsidRPr="00951F3B">
        <w:rPr>
          <w:lang w:val="en-GB"/>
        </w:rPr>
        <w:t xml:space="preserve">. In April 2016 the reproduction tests with </w:t>
      </w:r>
      <w:r w:rsidRPr="00951F3B">
        <w:rPr>
          <w:i/>
          <w:lang w:val="en-GB"/>
        </w:rPr>
        <w:t>P. antipodarum</w:t>
      </w:r>
      <w:r w:rsidRPr="00951F3B">
        <w:rPr>
          <w:lang w:val="en-GB"/>
        </w:rPr>
        <w:t xml:space="preserve"> and </w:t>
      </w:r>
      <w:r w:rsidRPr="00951F3B">
        <w:rPr>
          <w:i/>
          <w:lang w:val="en-GB"/>
        </w:rPr>
        <w:t>L. stagnalis</w:t>
      </w:r>
      <w:r w:rsidRPr="00951F3B">
        <w:rPr>
          <w:lang w:val="en-GB"/>
        </w:rPr>
        <w:t xml:space="preserve"> </w:t>
      </w:r>
      <w:r w:rsidR="00271E27">
        <w:rPr>
          <w:lang w:val="en-GB"/>
        </w:rPr>
        <w:t>were</w:t>
      </w:r>
      <w:r w:rsidRPr="00951F3B">
        <w:rPr>
          <w:lang w:val="en-GB"/>
        </w:rPr>
        <w:t xml:space="preserve"> officially approved by the national coordinators of the OECD member countries as test guidelines. They are the first aquatic non-arthropod-test, which were successfully validated within the Conceptual Framework for Endocrine Disrupters as a level 4 assay. The present study shows the results of the two first validation rounds with </w:t>
      </w:r>
      <w:r w:rsidRPr="00951F3B">
        <w:rPr>
          <w:i/>
          <w:lang w:val="en-GB"/>
        </w:rPr>
        <w:t>P. antipodarum</w:t>
      </w:r>
      <w:r w:rsidRPr="00951F3B">
        <w:rPr>
          <w:lang w:val="en-GB"/>
        </w:rPr>
        <w:t xml:space="preserve"> </w:t>
      </w:r>
      <w:r w:rsidR="00973723">
        <w:rPr>
          <w:lang w:val="en-GB"/>
        </w:rPr>
        <w:t>using</w:t>
      </w:r>
      <w:r w:rsidR="00973723" w:rsidRPr="00951F3B">
        <w:rPr>
          <w:lang w:val="en-GB"/>
        </w:rPr>
        <w:t xml:space="preserve"> </w:t>
      </w:r>
      <w:r w:rsidRPr="00951F3B">
        <w:rPr>
          <w:lang w:val="en-GB"/>
        </w:rPr>
        <w:t xml:space="preserve">the substances cadmium and TBT with 11 </w:t>
      </w:r>
      <w:r w:rsidR="00CC4131" w:rsidRPr="00951F3B">
        <w:rPr>
          <w:lang w:val="en-GB"/>
        </w:rPr>
        <w:t xml:space="preserve">European </w:t>
      </w:r>
      <w:r w:rsidRPr="00951F3B">
        <w:rPr>
          <w:lang w:val="en-GB"/>
        </w:rPr>
        <w:t>laboratories.</w:t>
      </w:r>
    </w:p>
    <w:p w:rsidR="009951C6" w:rsidRPr="00951F3B" w:rsidRDefault="009951C6" w:rsidP="00280083">
      <w:pPr>
        <w:spacing w:line="480" w:lineRule="auto"/>
        <w:jc w:val="both"/>
        <w:rPr>
          <w:lang w:val="en-GB"/>
        </w:rPr>
      </w:pPr>
    </w:p>
    <w:p w:rsidR="009951C6" w:rsidRPr="00951F3B" w:rsidRDefault="009951C6" w:rsidP="00280083">
      <w:pPr>
        <w:numPr>
          <w:ilvl w:val="0"/>
          <w:numId w:val="7"/>
        </w:numPr>
        <w:spacing w:line="480" w:lineRule="auto"/>
        <w:jc w:val="both"/>
        <w:rPr>
          <w:b/>
          <w:lang w:val="en-GB"/>
        </w:rPr>
      </w:pPr>
      <w:r w:rsidRPr="00951F3B">
        <w:rPr>
          <w:b/>
          <w:lang w:val="en-GB"/>
        </w:rPr>
        <w:t>MATERIALS AND METHODS</w:t>
      </w:r>
    </w:p>
    <w:p w:rsidR="009951C6" w:rsidRPr="00951F3B" w:rsidRDefault="009951C6" w:rsidP="00280083">
      <w:pPr>
        <w:spacing w:line="480" w:lineRule="auto"/>
        <w:jc w:val="both"/>
        <w:rPr>
          <w:lang w:val="en-GB"/>
        </w:rPr>
      </w:pPr>
    </w:p>
    <w:p w:rsidR="009951C6" w:rsidRPr="00951F3B" w:rsidRDefault="009951C6" w:rsidP="00280083">
      <w:pPr>
        <w:numPr>
          <w:ilvl w:val="1"/>
          <w:numId w:val="7"/>
        </w:numPr>
        <w:spacing w:line="480" w:lineRule="auto"/>
        <w:ind w:hanging="83"/>
        <w:jc w:val="both"/>
        <w:rPr>
          <w:i/>
          <w:lang w:val="en-GB"/>
        </w:rPr>
      </w:pPr>
      <w:r w:rsidRPr="00951F3B">
        <w:rPr>
          <w:i/>
          <w:lang w:val="en-GB"/>
        </w:rPr>
        <w:t>Test organism</w:t>
      </w:r>
    </w:p>
    <w:p w:rsidR="009951C6" w:rsidRPr="00951F3B" w:rsidRDefault="009951C6" w:rsidP="00280083">
      <w:pPr>
        <w:spacing w:line="480" w:lineRule="auto"/>
        <w:jc w:val="both"/>
        <w:rPr>
          <w:lang w:val="en-GB"/>
        </w:rPr>
      </w:pPr>
      <w:r w:rsidRPr="00951F3B">
        <w:rPr>
          <w:lang w:val="en-GB"/>
        </w:rPr>
        <w:t xml:space="preserve">Originating from New Zealand the mudsnail </w:t>
      </w:r>
      <w:r w:rsidRPr="00951F3B">
        <w:rPr>
          <w:i/>
          <w:lang w:val="en-GB"/>
        </w:rPr>
        <w:t>Potamopyrgus antipodarum</w:t>
      </w:r>
      <w:r w:rsidRPr="00951F3B">
        <w:rPr>
          <w:lang w:val="en-GB"/>
        </w:rPr>
        <w:t xml:space="preserve"> (Mollusca, Gastropoda, Hydrobiidae) was introduced to other parts of the world in the mid-19</w:t>
      </w:r>
      <w:r w:rsidRPr="00951F3B">
        <w:rPr>
          <w:vertAlign w:val="superscript"/>
          <w:lang w:val="en-GB"/>
        </w:rPr>
        <w:t>th</w:t>
      </w:r>
      <w:r w:rsidRPr="00951F3B">
        <w:rPr>
          <w:lang w:val="en-GB"/>
        </w:rPr>
        <w:t xml:space="preserve"> century with the ballast water of ships</w:t>
      </w:r>
      <w:r w:rsidRPr="000962C6">
        <w:rPr>
          <w:lang w:val="en-GB"/>
        </w:rPr>
        <w:t xml:space="preserve"> </w:t>
      </w:r>
      <w:r w:rsidRPr="00951F3B">
        <w:rPr>
          <w:noProof/>
          <w:lang w:val="en-GB"/>
        </w:rPr>
        <w:t>(Ponder, 1988)</w:t>
      </w:r>
      <w:r w:rsidRPr="00951F3B">
        <w:rPr>
          <w:lang w:val="en-GB"/>
        </w:rPr>
        <w:t xml:space="preserve">. It is common in aquatic ecosystems including lotic as well as lentic ecosystems </w:t>
      </w:r>
      <w:r w:rsidRPr="00951F3B">
        <w:rPr>
          <w:noProof/>
          <w:lang w:val="en-GB"/>
        </w:rPr>
        <w:t>(Alonso and Castro-Diez, 2012)</w:t>
      </w:r>
      <w:r w:rsidRPr="00951F3B">
        <w:rPr>
          <w:lang w:val="en-GB"/>
        </w:rPr>
        <w:t xml:space="preserve">. The shell </w:t>
      </w:r>
      <w:r w:rsidR="00973723">
        <w:rPr>
          <w:lang w:val="en-GB"/>
        </w:rPr>
        <w:t>length</w:t>
      </w:r>
      <w:r w:rsidR="00973723" w:rsidRPr="00951F3B">
        <w:rPr>
          <w:lang w:val="en-GB"/>
        </w:rPr>
        <w:t xml:space="preserve"> </w:t>
      </w:r>
      <w:r w:rsidRPr="00951F3B">
        <w:rPr>
          <w:lang w:val="en-GB"/>
        </w:rPr>
        <w:t xml:space="preserve">reaches up to 6 mm </w:t>
      </w:r>
      <w:r w:rsidRPr="00951F3B">
        <w:rPr>
          <w:noProof/>
          <w:lang w:val="en-GB"/>
        </w:rPr>
        <w:t>(Duft et al., 2007)</w:t>
      </w:r>
      <w:r w:rsidRPr="00951F3B">
        <w:rPr>
          <w:lang w:val="en-GB"/>
        </w:rPr>
        <w:t>. During dry or cold periods, snails live completely buried in the sediment (Duft</w:t>
      </w:r>
      <w:r w:rsidR="00C94B42" w:rsidRPr="00951F3B">
        <w:rPr>
          <w:lang w:val="en-GB"/>
        </w:rPr>
        <w:t xml:space="preserve"> et al.</w:t>
      </w:r>
      <w:r w:rsidR="00275CE2" w:rsidRPr="00951F3B">
        <w:rPr>
          <w:lang w:val="en-GB"/>
        </w:rPr>
        <w:t>,</w:t>
      </w:r>
      <w:r w:rsidRPr="00951F3B">
        <w:rPr>
          <w:lang w:val="en-GB"/>
        </w:rPr>
        <w:t xml:space="preserve"> 2003). </w:t>
      </w:r>
      <w:r w:rsidRPr="00951F3B">
        <w:rPr>
          <w:i/>
          <w:lang w:val="en-GB"/>
        </w:rPr>
        <w:t>P</w:t>
      </w:r>
      <w:r w:rsidR="00546C0F">
        <w:rPr>
          <w:i/>
          <w:lang w:val="en-GB"/>
        </w:rPr>
        <w:t>.</w:t>
      </w:r>
      <w:r w:rsidRPr="00951F3B">
        <w:rPr>
          <w:i/>
          <w:lang w:val="en-GB"/>
        </w:rPr>
        <w:t> antipodarum</w:t>
      </w:r>
      <w:r w:rsidRPr="00951F3B">
        <w:rPr>
          <w:lang w:val="en-GB"/>
        </w:rPr>
        <w:t xml:space="preserve"> feeds on detritus, algae, and bacteria, being rasped from the surface of plants, stones, or the sediment </w:t>
      </w:r>
      <w:r w:rsidRPr="00951F3B">
        <w:rPr>
          <w:noProof/>
          <w:lang w:val="en-GB"/>
        </w:rPr>
        <w:t>(Macken et al., 2012)</w:t>
      </w:r>
      <w:r w:rsidRPr="00951F3B">
        <w:rPr>
          <w:lang w:val="en-GB"/>
        </w:rPr>
        <w:t xml:space="preserve">. European populations consist almost exclusively of parthenogenetic females with </w:t>
      </w:r>
      <w:r w:rsidR="00275CE2" w:rsidRPr="00951F3B">
        <w:rPr>
          <w:lang w:val="en-GB"/>
        </w:rPr>
        <w:t xml:space="preserve">embryos developing </w:t>
      </w:r>
      <w:r w:rsidRPr="00951F3B">
        <w:rPr>
          <w:lang w:val="en-GB"/>
        </w:rPr>
        <w:lastRenderedPageBreak/>
        <w:t xml:space="preserve">in the anterior part of the pallial oviduct section, which is transformed into a brood pouch from which juvenile snails are released through the </w:t>
      </w:r>
      <w:r w:rsidR="00275CE2" w:rsidRPr="00951F3B">
        <w:rPr>
          <w:lang w:val="en-GB"/>
        </w:rPr>
        <w:t xml:space="preserve">vaginal opening </w:t>
      </w:r>
      <w:r w:rsidRPr="00951F3B">
        <w:rPr>
          <w:noProof/>
          <w:lang w:val="en-GB"/>
        </w:rPr>
        <w:t>(Fretter and Graham, 1994)</w:t>
      </w:r>
      <w:r w:rsidRPr="00951F3B">
        <w:rPr>
          <w:lang w:val="en-GB"/>
        </w:rPr>
        <w:t xml:space="preserve">. Snails reach sexual maturity at an age of about 30 weeks at a size of about 3.5 mm </w:t>
      </w:r>
      <w:r w:rsidRPr="00951F3B">
        <w:rPr>
          <w:noProof/>
          <w:lang w:val="en-GB"/>
        </w:rPr>
        <w:t>(Jensen et al., 2001; Møller et al., 1994)</w:t>
      </w:r>
      <w:r w:rsidRPr="00951F3B">
        <w:rPr>
          <w:lang w:val="en-GB"/>
        </w:rPr>
        <w:t xml:space="preserve"> and reproduce throughout the year </w:t>
      </w:r>
      <w:r w:rsidRPr="00951F3B">
        <w:rPr>
          <w:noProof/>
          <w:lang w:val="en-GB"/>
        </w:rPr>
        <w:t>(Gust et al., 2011)</w:t>
      </w:r>
      <w:r w:rsidRPr="00951F3B">
        <w:rPr>
          <w:lang w:val="en-GB"/>
        </w:rPr>
        <w:t>.</w:t>
      </w:r>
    </w:p>
    <w:p w:rsidR="009951C6" w:rsidRPr="00951F3B" w:rsidRDefault="009951C6" w:rsidP="00280083">
      <w:pPr>
        <w:spacing w:line="480" w:lineRule="auto"/>
        <w:jc w:val="both"/>
        <w:rPr>
          <w:lang w:val="en-GB"/>
        </w:rPr>
      </w:pPr>
    </w:p>
    <w:p w:rsidR="009951C6" w:rsidRPr="00951F3B" w:rsidRDefault="009951C6" w:rsidP="00280083">
      <w:pPr>
        <w:pStyle w:val="Heading7"/>
        <w:numPr>
          <w:ilvl w:val="1"/>
          <w:numId w:val="38"/>
        </w:numPr>
        <w:tabs>
          <w:tab w:val="left" w:pos="0"/>
        </w:tabs>
      </w:pPr>
      <w:r w:rsidRPr="00951F3B">
        <w:t>Implementation of the validation test</w:t>
      </w:r>
      <w:r w:rsidR="005C158E">
        <w:t>s</w:t>
      </w:r>
    </w:p>
    <w:p w:rsidR="009951C6" w:rsidRPr="00951F3B" w:rsidRDefault="009951C6" w:rsidP="00280083">
      <w:pPr>
        <w:pStyle w:val="Heading7"/>
        <w:numPr>
          <w:ilvl w:val="2"/>
          <w:numId w:val="38"/>
        </w:numPr>
        <w:tabs>
          <w:tab w:val="left" w:pos="0"/>
        </w:tabs>
        <w:ind w:hanging="1431"/>
      </w:pPr>
      <w:r w:rsidRPr="00951F3B">
        <w:t>Snail production, biological quality checking and acclimation</w:t>
      </w:r>
    </w:p>
    <w:p w:rsidR="009951C6" w:rsidRPr="00951F3B" w:rsidRDefault="009951C6" w:rsidP="00280083">
      <w:pPr>
        <w:spacing w:line="480" w:lineRule="auto"/>
        <w:jc w:val="both"/>
        <w:rPr>
          <w:lang w:val="en-GB"/>
        </w:rPr>
      </w:pPr>
      <w:r w:rsidRPr="00951F3B">
        <w:rPr>
          <w:lang w:val="en-GB"/>
        </w:rPr>
        <w:t>All snails used for this study were obtained from the long-term breeding stock established in our laboratory (Goethe University, Frankfurt, Germany). In 2009</w:t>
      </w:r>
      <w:r w:rsidR="004F6402">
        <w:rPr>
          <w:lang w:val="en-GB"/>
        </w:rPr>
        <w:t>,</w:t>
      </w:r>
      <w:r w:rsidRPr="00951F3B">
        <w:rPr>
          <w:lang w:val="en-GB"/>
        </w:rPr>
        <w:t xml:space="preserve"> this culture was </w:t>
      </w:r>
      <w:r w:rsidR="00850F5D" w:rsidRPr="00850F5D">
        <w:rPr>
          <w:lang w:val="en-GB"/>
        </w:rPr>
        <w:t>reinvigorate</w:t>
      </w:r>
      <w:r w:rsidR="00850F5D">
        <w:rPr>
          <w:lang w:val="en-GB"/>
        </w:rPr>
        <w:t>d</w:t>
      </w:r>
      <w:r w:rsidRPr="00951F3B">
        <w:rPr>
          <w:lang w:val="en-GB"/>
        </w:rPr>
        <w:t xml:space="preserve"> with snails originating from populations collected in the Kalbach, a small creek in Frankfurt, Hesse, Germany and in 2011 with snails from the Lumda, a small creek near Rabenau in Hesse, Germany. In the culture</w:t>
      </w:r>
      <w:r w:rsidR="00513AD7">
        <w:rPr>
          <w:lang w:val="en-GB"/>
        </w:rPr>
        <w:t>,</w:t>
      </w:r>
      <w:r w:rsidRPr="00951F3B">
        <w:rPr>
          <w:lang w:val="en-GB"/>
        </w:rPr>
        <w:t xml:space="preserve"> the snails were kept at 16 ±</w:t>
      </w:r>
      <w:r w:rsidR="00A0531B">
        <w:rPr>
          <w:lang w:val="en-GB"/>
        </w:rPr>
        <w:t xml:space="preserve"> </w:t>
      </w:r>
      <w:r w:rsidRPr="00951F3B">
        <w:rPr>
          <w:lang w:val="en-GB"/>
        </w:rPr>
        <w:t>1°C and a light:dark regime of 16:8 h in 15 L glass aquaria with aerated reconstituted water (deioni</w:t>
      </w:r>
      <w:r w:rsidR="00426C21" w:rsidRPr="00951F3B">
        <w:rPr>
          <w:lang w:val="en-GB"/>
        </w:rPr>
        <w:t>s</w:t>
      </w:r>
      <w:r w:rsidRPr="00951F3B">
        <w:rPr>
          <w:lang w:val="en-GB"/>
        </w:rPr>
        <w:t>ed water; pH 8 (± 0.5) adjusted with NaOH and HCl; conductivity 770 µS/cm adjusted with TropicMarin</w:t>
      </w:r>
      <w:r w:rsidRPr="002A2D9A">
        <w:rPr>
          <w:vertAlign w:val="superscript"/>
          <w:lang w:val="en-GB"/>
        </w:rPr>
        <w:t>®</w:t>
      </w:r>
      <w:r w:rsidRPr="00951F3B">
        <w:rPr>
          <w:lang w:val="en-GB"/>
        </w:rPr>
        <w:t xml:space="preserve"> sea salt (Dr. Biener GmbH, Wartenberg, Germany) and NaHCO</w:t>
      </w:r>
      <w:r w:rsidR="006466B4" w:rsidRPr="00C2275C">
        <w:rPr>
          <w:vertAlign w:val="subscript"/>
          <w:lang w:val="en-GB"/>
        </w:rPr>
        <w:t>3</w:t>
      </w:r>
      <w:r w:rsidRPr="00951F3B">
        <w:rPr>
          <w:lang w:val="en-GB"/>
        </w:rPr>
        <w:t>) as proposed in</w:t>
      </w:r>
      <w:r w:rsidRPr="000962C6">
        <w:rPr>
          <w:lang w:val="en-GB"/>
        </w:rPr>
        <w:t xml:space="preserve"> </w:t>
      </w:r>
      <w:r w:rsidRPr="00951F3B">
        <w:rPr>
          <w:noProof/>
          <w:lang w:val="en-GB"/>
        </w:rPr>
        <w:t xml:space="preserve">OECD </w:t>
      </w:r>
      <w:r w:rsidR="00275CE2" w:rsidRPr="00951F3B">
        <w:rPr>
          <w:noProof/>
          <w:lang w:val="en-GB"/>
        </w:rPr>
        <w:t>(</w:t>
      </w:r>
      <w:r w:rsidRPr="00951F3B">
        <w:rPr>
          <w:noProof/>
          <w:lang w:val="en-GB"/>
        </w:rPr>
        <w:t>2010a)</w:t>
      </w:r>
      <w:r w:rsidRPr="00951F3B">
        <w:rPr>
          <w:lang w:val="en-GB"/>
        </w:rPr>
        <w:t xml:space="preserve">. Snails were fed </w:t>
      </w:r>
      <w:r w:rsidRPr="00951F3B">
        <w:rPr>
          <w:i/>
          <w:lang w:val="en-GB"/>
        </w:rPr>
        <w:t>ad libitum</w:t>
      </w:r>
      <w:r w:rsidRPr="00951F3B">
        <w:rPr>
          <w:lang w:val="en-GB"/>
        </w:rPr>
        <w:t xml:space="preserve"> twice a week with finely ground TetraPhyll® (Tetra GmbH, Melle, Germany). Once a week</w:t>
      </w:r>
      <w:r w:rsidR="00513AD7">
        <w:rPr>
          <w:lang w:val="en-GB"/>
        </w:rPr>
        <w:t>,</w:t>
      </w:r>
      <w:r w:rsidRPr="00951F3B">
        <w:rPr>
          <w:lang w:val="en-GB"/>
        </w:rPr>
        <w:t xml:space="preserve"> at least one third of the culture medium was renewed.</w:t>
      </w:r>
    </w:p>
    <w:p w:rsidR="009951C6" w:rsidRPr="00951F3B" w:rsidRDefault="009951C6" w:rsidP="00280083">
      <w:pPr>
        <w:spacing w:line="480" w:lineRule="auto"/>
        <w:jc w:val="both"/>
        <w:rPr>
          <w:lang w:val="en-GB"/>
        </w:rPr>
      </w:pPr>
      <w:r w:rsidRPr="00951F3B">
        <w:rPr>
          <w:lang w:val="en-GB"/>
        </w:rPr>
        <w:t>Before shipping to the partner laboratories</w:t>
      </w:r>
      <w:r w:rsidR="00513AD7">
        <w:rPr>
          <w:lang w:val="en-GB"/>
        </w:rPr>
        <w:t>,</w:t>
      </w:r>
      <w:r w:rsidRPr="00951F3B">
        <w:rPr>
          <w:lang w:val="en-GB"/>
        </w:rPr>
        <w:t xml:space="preserve"> the reproductive output was checked in snails from </w:t>
      </w:r>
      <w:r w:rsidR="00513AD7">
        <w:rPr>
          <w:lang w:val="en-GB"/>
        </w:rPr>
        <w:t>the stock culture</w:t>
      </w:r>
      <w:r w:rsidRPr="00951F3B">
        <w:rPr>
          <w:lang w:val="en-GB"/>
        </w:rPr>
        <w:t xml:space="preserve">. Overall, about </w:t>
      </w:r>
      <w:r w:rsidR="00A761D6">
        <w:rPr>
          <w:lang w:val="en-GB"/>
        </w:rPr>
        <w:t>47</w:t>
      </w:r>
      <w:r w:rsidR="00A761D6" w:rsidRPr="00951F3B">
        <w:rPr>
          <w:lang w:val="en-GB"/>
        </w:rPr>
        <w:t xml:space="preserve">00 </w:t>
      </w:r>
      <w:r w:rsidRPr="00951F3B">
        <w:rPr>
          <w:lang w:val="en-GB"/>
        </w:rPr>
        <w:t>snails were shipped in 1 L glass beakers</w:t>
      </w:r>
      <w:r w:rsidR="004611F7">
        <w:rPr>
          <w:lang w:val="en-GB"/>
        </w:rPr>
        <w:t>,</w:t>
      </w:r>
      <w:r w:rsidRPr="00951F3B">
        <w:rPr>
          <w:lang w:val="en-GB"/>
        </w:rPr>
        <w:t xml:space="preserve"> containing </w:t>
      </w:r>
      <w:r w:rsidR="004611F7">
        <w:rPr>
          <w:lang w:val="en-GB"/>
        </w:rPr>
        <w:t>500 snails</w:t>
      </w:r>
      <w:r w:rsidR="004611F7" w:rsidRPr="00951F3B">
        <w:rPr>
          <w:lang w:val="en-GB"/>
        </w:rPr>
        <w:t xml:space="preserve"> </w:t>
      </w:r>
      <w:r w:rsidR="004611F7">
        <w:rPr>
          <w:lang w:val="en-GB"/>
        </w:rPr>
        <w:t xml:space="preserve">in </w:t>
      </w:r>
      <w:r w:rsidRPr="00951F3B">
        <w:rPr>
          <w:lang w:val="en-GB"/>
        </w:rPr>
        <w:t>950 mL culture medium and finely ground TetraPhyll® (ad libitum). Shipping duration was 1 day, except for laboratory 2F</w:t>
      </w:r>
      <w:r w:rsidR="00275CE2" w:rsidRPr="00951F3B">
        <w:rPr>
          <w:lang w:val="en-GB"/>
        </w:rPr>
        <w:t xml:space="preserve"> where </w:t>
      </w:r>
      <w:r w:rsidRPr="00951F3B">
        <w:rPr>
          <w:lang w:val="en-GB"/>
        </w:rPr>
        <w:t xml:space="preserve">shipping took 2 days. In the </w:t>
      </w:r>
      <w:r w:rsidR="00513AD7">
        <w:rPr>
          <w:lang w:val="en-GB"/>
        </w:rPr>
        <w:t>participating</w:t>
      </w:r>
      <w:r w:rsidR="00513AD7" w:rsidRPr="00951F3B">
        <w:rPr>
          <w:lang w:val="en-GB"/>
        </w:rPr>
        <w:t xml:space="preserve"> </w:t>
      </w:r>
      <w:r w:rsidRPr="00951F3B">
        <w:rPr>
          <w:lang w:val="en-GB"/>
        </w:rPr>
        <w:t>laboratories</w:t>
      </w:r>
      <w:r w:rsidR="00513AD7">
        <w:rPr>
          <w:lang w:val="en-GB"/>
        </w:rPr>
        <w:t>,</w:t>
      </w:r>
      <w:r w:rsidRPr="00951F3B">
        <w:rPr>
          <w:lang w:val="en-GB"/>
        </w:rPr>
        <w:t xml:space="preserve"> snails were acclimated between 5 and 68 days at 16 ± 1°C. </w:t>
      </w:r>
      <w:r w:rsidR="004611F7">
        <w:rPr>
          <w:lang w:val="en-GB"/>
        </w:rPr>
        <w:t xml:space="preserve">The different acclimation periods were due to the scheduling of the test period in the laboratories. </w:t>
      </w:r>
      <w:r w:rsidRPr="00951F3B">
        <w:rPr>
          <w:lang w:val="en-GB"/>
        </w:rPr>
        <w:t xml:space="preserve">Surviving snails of the first batch sent to laboratory 1B (see 3.1) </w:t>
      </w:r>
      <w:r w:rsidR="00275CE2" w:rsidRPr="00951F3B">
        <w:rPr>
          <w:lang w:val="en-GB"/>
        </w:rPr>
        <w:t xml:space="preserve">were </w:t>
      </w:r>
      <w:r w:rsidRPr="00951F3B">
        <w:rPr>
          <w:lang w:val="en-GB"/>
        </w:rPr>
        <w:t xml:space="preserve">acclimated for 5 months. The experiments of validation I with cadmium were conducted between May and </w:t>
      </w:r>
      <w:r w:rsidRPr="00951F3B">
        <w:rPr>
          <w:lang w:val="en-GB"/>
        </w:rPr>
        <w:lastRenderedPageBreak/>
        <w:t xml:space="preserve">July 2010. Validation II experiments with cadmium and TBT were performed between June 2013 and March 2014. </w:t>
      </w:r>
    </w:p>
    <w:p w:rsidR="009951C6" w:rsidRPr="00951F3B" w:rsidRDefault="009951C6" w:rsidP="00280083">
      <w:pPr>
        <w:spacing w:line="480" w:lineRule="auto"/>
        <w:rPr>
          <w:lang w:val="en-GB"/>
        </w:rPr>
      </w:pPr>
    </w:p>
    <w:p w:rsidR="009951C6" w:rsidRPr="00951F3B" w:rsidRDefault="009951C6" w:rsidP="00280083">
      <w:pPr>
        <w:pStyle w:val="Heading7"/>
        <w:numPr>
          <w:ilvl w:val="2"/>
          <w:numId w:val="38"/>
        </w:numPr>
        <w:tabs>
          <w:tab w:val="left" w:pos="0"/>
          <w:tab w:val="left" w:pos="720"/>
        </w:tabs>
        <w:ind w:left="1418"/>
      </w:pPr>
      <w:r w:rsidRPr="00951F3B">
        <w:t>Principle of the reproduction test and experimental conditions</w:t>
      </w:r>
    </w:p>
    <w:p w:rsidR="009951C6" w:rsidRPr="00951F3B" w:rsidRDefault="009951C6" w:rsidP="00280083">
      <w:pPr>
        <w:pStyle w:val="ListParagraph"/>
        <w:spacing w:line="480" w:lineRule="auto"/>
        <w:ind w:left="0"/>
        <w:jc w:val="both"/>
        <w:rPr>
          <w:lang w:val="en-GB"/>
        </w:rPr>
      </w:pPr>
      <w:r w:rsidRPr="00951F3B">
        <w:rPr>
          <w:lang w:val="en-GB"/>
        </w:rPr>
        <w:t xml:space="preserve">Adult </w:t>
      </w:r>
      <w:r w:rsidRPr="00951F3B">
        <w:rPr>
          <w:i/>
          <w:lang w:val="en-GB"/>
        </w:rPr>
        <w:t>P. antipodarum</w:t>
      </w:r>
      <w:r w:rsidRPr="00951F3B">
        <w:rPr>
          <w:lang w:val="en-GB"/>
        </w:rPr>
        <w:t xml:space="preserve"> of a defined size class (Table 1) are exposed to a concentration range of the tested chemical and control group</w:t>
      </w:r>
      <w:r w:rsidR="00850F5D">
        <w:rPr>
          <w:lang w:val="en-GB"/>
        </w:rPr>
        <w:t>s</w:t>
      </w:r>
      <w:r w:rsidRPr="00951F3B">
        <w:rPr>
          <w:lang w:val="en-GB"/>
        </w:rPr>
        <w:t xml:space="preserve"> for 28 d. Each exposure group, including </w:t>
      </w:r>
      <w:r w:rsidR="00850F5D">
        <w:rPr>
          <w:lang w:val="en-GB"/>
        </w:rPr>
        <w:t>a negative (</w:t>
      </w:r>
      <w:r w:rsidRPr="00951F3B">
        <w:rPr>
          <w:lang w:val="en-GB"/>
        </w:rPr>
        <w:t>water</w:t>
      </w:r>
      <w:r w:rsidR="00850F5D">
        <w:rPr>
          <w:lang w:val="en-GB"/>
        </w:rPr>
        <w:t>)</w:t>
      </w:r>
      <w:r w:rsidRPr="00951F3B">
        <w:rPr>
          <w:lang w:val="en-GB"/>
        </w:rPr>
        <w:t xml:space="preserve"> and </w:t>
      </w:r>
      <w:r w:rsidR="00850F5D">
        <w:rPr>
          <w:lang w:val="en-GB"/>
        </w:rPr>
        <w:t xml:space="preserve">if required </w:t>
      </w:r>
      <w:r w:rsidRPr="00951F3B">
        <w:rPr>
          <w:lang w:val="en-GB"/>
        </w:rPr>
        <w:t xml:space="preserve">solvent controls, consists of four replicates containing ten individuals each. Test </w:t>
      </w:r>
      <w:r w:rsidR="00B67653" w:rsidRPr="00951F3B">
        <w:rPr>
          <w:lang w:val="en-GB"/>
        </w:rPr>
        <w:t>medi</w:t>
      </w:r>
      <w:r w:rsidR="00B67653">
        <w:rPr>
          <w:lang w:val="en-GB"/>
        </w:rPr>
        <w:t>um</w:t>
      </w:r>
      <w:r w:rsidR="00B67653" w:rsidRPr="00951F3B">
        <w:rPr>
          <w:lang w:val="en-GB"/>
        </w:rPr>
        <w:t xml:space="preserve"> </w:t>
      </w:r>
      <w:r w:rsidRPr="00951F3B">
        <w:rPr>
          <w:lang w:val="en-GB"/>
        </w:rPr>
        <w:t xml:space="preserve">is changed three times a week to maintain exposure concentrations and adequate water quality parameters, </w:t>
      </w:r>
      <w:r w:rsidR="00271E27">
        <w:rPr>
          <w:lang w:val="en-GB"/>
        </w:rPr>
        <w:t>e.g.</w:t>
      </w:r>
      <w:r w:rsidR="00271E27" w:rsidRPr="00951F3B">
        <w:rPr>
          <w:lang w:val="en-GB"/>
        </w:rPr>
        <w:t xml:space="preserve"> </w:t>
      </w:r>
      <w:r w:rsidR="00271E27">
        <w:rPr>
          <w:lang w:val="en-GB"/>
        </w:rPr>
        <w:t>O</w:t>
      </w:r>
      <w:r w:rsidR="00271E27">
        <w:rPr>
          <w:vertAlign w:val="subscript"/>
          <w:lang w:val="en-GB"/>
        </w:rPr>
        <w:t>2</w:t>
      </w:r>
      <w:r w:rsidR="00271E27">
        <w:rPr>
          <w:lang w:val="en-GB"/>
        </w:rPr>
        <w:t xml:space="preserve">, </w:t>
      </w:r>
      <w:r w:rsidRPr="00951F3B">
        <w:rPr>
          <w:lang w:val="en-GB"/>
        </w:rPr>
        <w:t xml:space="preserve">pH and conductivity, which are monitored before exposure medium renewals. </w:t>
      </w:r>
      <w:r w:rsidR="001945DE" w:rsidRPr="00951F3B">
        <w:rPr>
          <w:lang w:val="en-GB"/>
        </w:rPr>
        <w:t xml:space="preserve">Dead snails are counted and </w:t>
      </w:r>
      <w:r w:rsidR="00271E27">
        <w:rPr>
          <w:lang w:val="en-GB"/>
        </w:rPr>
        <w:t>removed</w:t>
      </w:r>
      <w:r w:rsidR="001945DE" w:rsidRPr="00951F3B">
        <w:rPr>
          <w:lang w:val="en-GB"/>
        </w:rPr>
        <w:t xml:space="preserve"> from the test vessels</w:t>
      </w:r>
      <w:r w:rsidR="001945DE">
        <w:rPr>
          <w:lang w:val="en-GB"/>
        </w:rPr>
        <w:t xml:space="preserve"> during medium renewal</w:t>
      </w:r>
      <w:r w:rsidR="001945DE" w:rsidRPr="00951F3B">
        <w:rPr>
          <w:lang w:val="en-GB"/>
        </w:rPr>
        <w:t xml:space="preserve">. </w:t>
      </w:r>
      <w:r w:rsidRPr="00951F3B">
        <w:rPr>
          <w:lang w:val="en-GB"/>
        </w:rPr>
        <w:t>Once a week</w:t>
      </w:r>
      <w:r w:rsidR="00513AD7">
        <w:rPr>
          <w:lang w:val="en-GB"/>
        </w:rPr>
        <w:t>,</w:t>
      </w:r>
      <w:r w:rsidRPr="00951F3B">
        <w:rPr>
          <w:lang w:val="en-GB"/>
        </w:rPr>
        <w:t xml:space="preserve"> the test vessels are changed to prevent </w:t>
      </w:r>
      <w:r w:rsidR="00850F5D">
        <w:rPr>
          <w:lang w:val="en-GB"/>
        </w:rPr>
        <w:t>biofilm</w:t>
      </w:r>
      <w:r w:rsidR="00850F5D" w:rsidRPr="00951F3B">
        <w:rPr>
          <w:lang w:val="en-GB"/>
        </w:rPr>
        <w:t xml:space="preserve"> </w:t>
      </w:r>
      <w:r w:rsidRPr="00951F3B">
        <w:rPr>
          <w:lang w:val="en-GB"/>
        </w:rPr>
        <w:t>growth. After 28 d</w:t>
      </w:r>
      <w:r w:rsidR="00513AD7">
        <w:rPr>
          <w:lang w:val="en-GB"/>
        </w:rPr>
        <w:t>,</w:t>
      </w:r>
      <w:r w:rsidRPr="00951F3B">
        <w:rPr>
          <w:lang w:val="en-GB"/>
        </w:rPr>
        <w:t xml:space="preserve"> snails are sacrificed at -20°C in </w:t>
      </w:r>
      <w:r w:rsidR="00850F5D">
        <w:rPr>
          <w:lang w:val="en-GB"/>
        </w:rPr>
        <w:t>a</w:t>
      </w:r>
      <w:r w:rsidR="00850F5D" w:rsidRPr="00951F3B">
        <w:rPr>
          <w:lang w:val="en-GB"/>
        </w:rPr>
        <w:t xml:space="preserve"> </w:t>
      </w:r>
      <w:r w:rsidRPr="00951F3B">
        <w:rPr>
          <w:lang w:val="en-GB"/>
        </w:rPr>
        <w:t>freezer or quick-frozen in liquid nitrogen</w:t>
      </w:r>
      <w:r w:rsidR="00513AD7">
        <w:rPr>
          <w:lang w:val="en-GB"/>
        </w:rPr>
        <w:t>,</w:t>
      </w:r>
      <w:r w:rsidRPr="00951F3B">
        <w:rPr>
          <w:lang w:val="en-GB"/>
        </w:rPr>
        <w:t xml:space="preserve"> and stored at</w:t>
      </w:r>
      <w:r w:rsidR="00B67653">
        <w:rPr>
          <w:lang w:val="en-GB"/>
        </w:rPr>
        <w:t xml:space="preserve"> -</w:t>
      </w:r>
      <w:r w:rsidRPr="00951F3B">
        <w:rPr>
          <w:lang w:val="en-GB"/>
        </w:rPr>
        <w:t>80°C. The snails are dissected by removing the</w:t>
      </w:r>
      <w:r w:rsidR="00271E27">
        <w:rPr>
          <w:lang w:val="en-GB"/>
        </w:rPr>
        <w:t xml:space="preserve"> shell</w:t>
      </w:r>
      <w:r w:rsidRPr="00951F3B">
        <w:rPr>
          <w:lang w:val="en-GB"/>
        </w:rPr>
        <w:t xml:space="preserve"> </w:t>
      </w:r>
      <w:r w:rsidR="00271E27">
        <w:rPr>
          <w:lang w:val="en-GB"/>
        </w:rPr>
        <w:t xml:space="preserve">from the </w:t>
      </w:r>
      <w:r w:rsidR="00D80FFF">
        <w:rPr>
          <w:lang w:val="en-GB"/>
        </w:rPr>
        <w:t xml:space="preserve">soft body </w:t>
      </w:r>
      <w:r w:rsidRPr="00951F3B">
        <w:rPr>
          <w:lang w:val="en-GB"/>
        </w:rPr>
        <w:t>and opening the brood pouch. The main endpoint, the number of embryos in the brood pouch of each individual, is assessed. Table 1 summarises the main experimental conditions.</w:t>
      </w:r>
    </w:p>
    <w:p w:rsidR="009951C6" w:rsidRPr="00951F3B" w:rsidRDefault="009951C6" w:rsidP="00280083">
      <w:pPr>
        <w:pStyle w:val="ListParagraph"/>
        <w:spacing w:line="480" w:lineRule="auto"/>
        <w:ind w:left="0"/>
        <w:jc w:val="both"/>
        <w:rPr>
          <w:lang w:val="en-GB"/>
        </w:rPr>
      </w:pPr>
    </w:p>
    <w:p w:rsidR="00D80FFF" w:rsidRPr="00D80FFF" w:rsidRDefault="009951C6" w:rsidP="00280083">
      <w:pPr>
        <w:spacing w:line="480" w:lineRule="auto"/>
        <w:jc w:val="both"/>
        <w:rPr>
          <w:sz w:val="20"/>
          <w:lang w:val="en-GB"/>
        </w:rPr>
      </w:pPr>
      <w:r w:rsidRPr="00951F3B">
        <w:rPr>
          <w:sz w:val="20"/>
          <w:lang w:val="en-GB"/>
        </w:rPr>
        <w:t>Table 1: Summary of main experimental conditions</w:t>
      </w:r>
      <w:r w:rsidR="00271E27">
        <w:rPr>
          <w:sz w:val="20"/>
          <w:lang w:val="en-GB"/>
        </w:rPr>
        <w:t xml:space="preserve"> in the ring tests</w:t>
      </w:r>
    </w:p>
    <w:tbl>
      <w:tblPr>
        <w:tblW w:w="9211" w:type="dxa"/>
        <w:tblBorders>
          <w:top w:val="single" w:sz="12" w:space="0" w:color="008000"/>
          <w:bottom w:val="single" w:sz="12" w:space="0" w:color="008000"/>
        </w:tblBorders>
        <w:tblLook w:val="04A0" w:firstRow="1" w:lastRow="0" w:firstColumn="1" w:lastColumn="0" w:noHBand="0" w:noVBand="1"/>
      </w:tblPr>
      <w:tblGrid>
        <w:gridCol w:w="1749"/>
        <w:gridCol w:w="7462"/>
      </w:tblGrid>
      <w:tr w:rsidR="009951C6" w:rsidRPr="00951F3B" w:rsidTr="00280083">
        <w:trPr>
          <w:trHeight w:val="298"/>
        </w:trPr>
        <w:tc>
          <w:tcPr>
            <w:tcW w:w="1749" w:type="dxa"/>
            <w:tcBorders>
              <w:top w:val="single" w:sz="12" w:space="0" w:color="000000"/>
              <w:bottom w:val="nil"/>
            </w:tcBorders>
            <w:shd w:val="clear" w:color="auto" w:fill="auto"/>
          </w:tcPr>
          <w:p w:rsidR="009951C6" w:rsidRPr="00951F3B" w:rsidRDefault="009951C6" w:rsidP="00280083">
            <w:pPr>
              <w:suppressAutoHyphens w:val="0"/>
              <w:spacing w:before="60" w:line="276" w:lineRule="auto"/>
              <w:jc w:val="both"/>
              <w:rPr>
                <w:sz w:val="18"/>
                <w:szCs w:val="20"/>
                <w:lang w:val="en-GB" w:eastAsia="de-DE"/>
              </w:rPr>
            </w:pPr>
            <w:r w:rsidRPr="00951F3B">
              <w:rPr>
                <w:sz w:val="18"/>
                <w:szCs w:val="20"/>
                <w:lang w:val="en-GB" w:eastAsia="de-DE"/>
              </w:rPr>
              <w:t>Test duration</w:t>
            </w:r>
          </w:p>
        </w:tc>
        <w:tc>
          <w:tcPr>
            <w:tcW w:w="7462" w:type="dxa"/>
            <w:tcBorders>
              <w:top w:val="single" w:sz="12" w:space="0" w:color="000000"/>
              <w:bottom w:val="nil"/>
            </w:tcBorders>
            <w:shd w:val="clear" w:color="auto" w:fill="auto"/>
          </w:tcPr>
          <w:p w:rsidR="009951C6" w:rsidRPr="00951F3B" w:rsidRDefault="009951C6" w:rsidP="00280083">
            <w:pPr>
              <w:suppressAutoHyphens w:val="0"/>
              <w:spacing w:before="60" w:line="276" w:lineRule="auto"/>
              <w:jc w:val="both"/>
              <w:rPr>
                <w:sz w:val="18"/>
                <w:szCs w:val="20"/>
                <w:lang w:val="en-GB" w:eastAsia="de-DE"/>
              </w:rPr>
            </w:pPr>
            <w:r w:rsidRPr="00951F3B">
              <w:rPr>
                <w:sz w:val="18"/>
                <w:szCs w:val="20"/>
                <w:lang w:val="en-GB" w:eastAsia="de-DE"/>
              </w:rPr>
              <w:t>28 days</w:t>
            </w:r>
          </w:p>
        </w:tc>
      </w:tr>
      <w:tr w:rsidR="009951C6" w:rsidRPr="000962C6" w:rsidTr="00280083">
        <w:trPr>
          <w:trHeight w:val="298"/>
        </w:trPr>
        <w:tc>
          <w:tcPr>
            <w:tcW w:w="1749" w:type="dxa"/>
            <w:tcBorders>
              <w:top w:val="nil"/>
              <w:bottom w:val="nil"/>
            </w:tcBorders>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Test water</w:t>
            </w:r>
          </w:p>
        </w:tc>
        <w:tc>
          <w:tcPr>
            <w:tcW w:w="7462" w:type="dxa"/>
            <w:tcBorders>
              <w:top w:val="nil"/>
              <w:bottom w:val="nil"/>
            </w:tcBorders>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Reconstituted water (with 0.3 g Tropic Marin® salt and 0.18 g NaHCO</w:t>
            </w:r>
            <w:r w:rsidRPr="00951F3B">
              <w:rPr>
                <w:sz w:val="18"/>
                <w:szCs w:val="20"/>
                <w:vertAlign w:val="subscript"/>
                <w:lang w:val="en-GB" w:eastAsia="de-DE"/>
              </w:rPr>
              <w:t>3</w:t>
            </w:r>
            <w:r w:rsidRPr="00951F3B">
              <w:rPr>
                <w:sz w:val="18"/>
                <w:szCs w:val="20"/>
                <w:lang w:val="en-GB" w:eastAsia="de-DE"/>
              </w:rPr>
              <w:t xml:space="preserve"> per 1 litre de-ionised water)</w:t>
            </w:r>
            <w:r w:rsidRPr="000962C6">
              <w:rPr>
                <w:lang w:val="en-GB"/>
              </w:rPr>
              <w:t xml:space="preserve"> </w:t>
            </w:r>
            <w:r w:rsidRPr="00951F3B">
              <w:rPr>
                <w:sz w:val="18"/>
                <w:szCs w:val="20"/>
                <w:lang w:val="en-GB" w:eastAsia="de-DE"/>
              </w:rPr>
              <w:t>water quality requirements: pH 7.5 – 8.5, conductivity 770 ± 100 µS/cm, oxygen concentration &gt; 80% ASV (air saturation value)</w:t>
            </w:r>
          </w:p>
        </w:tc>
      </w:tr>
      <w:tr w:rsidR="009951C6" w:rsidRPr="000962C6" w:rsidTr="00280083">
        <w:trPr>
          <w:trHeight w:val="298"/>
        </w:trPr>
        <w:tc>
          <w:tcPr>
            <w:tcW w:w="1749" w:type="dxa"/>
            <w:tcBorders>
              <w:top w:val="nil"/>
            </w:tcBorders>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Test vessels</w:t>
            </w:r>
          </w:p>
        </w:tc>
        <w:tc>
          <w:tcPr>
            <w:tcW w:w="7462" w:type="dxa"/>
            <w:tcBorders>
              <w:top w:val="nil"/>
            </w:tcBorders>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1 L glass beakers (validation I)</w:t>
            </w:r>
            <w:r w:rsidR="00B67653">
              <w:rPr>
                <w:sz w:val="18"/>
                <w:szCs w:val="20"/>
                <w:lang w:val="en-GB" w:eastAsia="de-DE"/>
              </w:rPr>
              <w:t xml:space="preserve"> or</w:t>
            </w:r>
            <w:r w:rsidRPr="00951F3B">
              <w:rPr>
                <w:sz w:val="18"/>
                <w:szCs w:val="20"/>
                <w:lang w:val="en-GB" w:eastAsia="de-DE"/>
              </w:rPr>
              <w:t xml:space="preserve"> 500 mL glass beaker (validation II) with lids</w:t>
            </w:r>
          </w:p>
        </w:tc>
      </w:tr>
      <w:tr w:rsidR="009951C6" w:rsidRPr="00951F3B" w:rsidTr="00280083">
        <w:trPr>
          <w:trHeight w:val="298"/>
        </w:trPr>
        <w:tc>
          <w:tcPr>
            <w:tcW w:w="1749" w:type="dxa"/>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Water renewal</w:t>
            </w:r>
          </w:p>
        </w:tc>
        <w:tc>
          <w:tcPr>
            <w:tcW w:w="7462" w:type="dxa"/>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3 times per week</w:t>
            </w:r>
          </w:p>
        </w:tc>
      </w:tr>
      <w:tr w:rsidR="009951C6" w:rsidRPr="00951F3B" w:rsidTr="00280083">
        <w:trPr>
          <w:trHeight w:val="298"/>
        </w:trPr>
        <w:tc>
          <w:tcPr>
            <w:tcW w:w="1749" w:type="dxa"/>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Temperature</w:t>
            </w:r>
          </w:p>
        </w:tc>
        <w:tc>
          <w:tcPr>
            <w:tcW w:w="7462" w:type="dxa"/>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16 ± 1°C</w:t>
            </w:r>
          </w:p>
        </w:tc>
      </w:tr>
      <w:tr w:rsidR="009951C6" w:rsidRPr="00951F3B" w:rsidTr="00280083">
        <w:trPr>
          <w:trHeight w:val="298"/>
        </w:trPr>
        <w:tc>
          <w:tcPr>
            <w:tcW w:w="1749" w:type="dxa"/>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Light intensity</w:t>
            </w:r>
          </w:p>
        </w:tc>
        <w:tc>
          <w:tcPr>
            <w:tcW w:w="7462" w:type="dxa"/>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300 – 500 lux</w:t>
            </w:r>
          </w:p>
        </w:tc>
      </w:tr>
      <w:tr w:rsidR="009951C6" w:rsidRPr="00951F3B" w:rsidTr="00280083">
        <w:trPr>
          <w:trHeight w:val="298"/>
        </w:trPr>
        <w:tc>
          <w:tcPr>
            <w:tcW w:w="1749" w:type="dxa"/>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Photoperiod</w:t>
            </w:r>
          </w:p>
        </w:tc>
        <w:tc>
          <w:tcPr>
            <w:tcW w:w="7462" w:type="dxa"/>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16:8 h L:D</w:t>
            </w:r>
          </w:p>
        </w:tc>
      </w:tr>
      <w:tr w:rsidR="009951C6" w:rsidRPr="00951F3B" w:rsidTr="00280083">
        <w:trPr>
          <w:trHeight w:val="298"/>
        </w:trPr>
        <w:tc>
          <w:tcPr>
            <w:tcW w:w="1749" w:type="dxa"/>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Food source</w:t>
            </w:r>
          </w:p>
        </w:tc>
        <w:tc>
          <w:tcPr>
            <w:tcW w:w="7462" w:type="dxa"/>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Fine</w:t>
            </w:r>
            <w:r w:rsidR="00271E27">
              <w:rPr>
                <w:sz w:val="18"/>
                <w:szCs w:val="20"/>
                <w:lang w:val="en-GB" w:eastAsia="de-DE"/>
              </w:rPr>
              <w:t>ly</w:t>
            </w:r>
            <w:r w:rsidRPr="00951F3B">
              <w:rPr>
                <w:sz w:val="18"/>
                <w:szCs w:val="20"/>
                <w:lang w:val="en-GB" w:eastAsia="de-DE"/>
              </w:rPr>
              <w:t xml:space="preserve"> ground Tetraphyll®</w:t>
            </w:r>
          </w:p>
        </w:tc>
      </w:tr>
      <w:tr w:rsidR="009951C6" w:rsidRPr="00951F3B" w:rsidTr="00280083">
        <w:trPr>
          <w:trHeight w:val="298"/>
        </w:trPr>
        <w:tc>
          <w:tcPr>
            <w:tcW w:w="1749" w:type="dxa"/>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Feeding</w:t>
            </w:r>
          </w:p>
        </w:tc>
        <w:tc>
          <w:tcPr>
            <w:tcW w:w="7462" w:type="dxa"/>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0.25 mg/animal and day</w:t>
            </w:r>
          </w:p>
        </w:tc>
      </w:tr>
      <w:tr w:rsidR="009951C6" w:rsidRPr="000962C6" w:rsidTr="00280083">
        <w:trPr>
          <w:trHeight w:val="298"/>
        </w:trPr>
        <w:tc>
          <w:tcPr>
            <w:tcW w:w="1749" w:type="dxa"/>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Snails origin</w:t>
            </w:r>
          </w:p>
        </w:tc>
        <w:tc>
          <w:tcPr>
            <w:tcW w:w="7462" w:type="dxa"/>
            <w:shd w:val="clear" w:color="auto" w:fill="auto"/>
          </w:tcPr>
          <w:p w:rsidR="009951C6" w:rsidRPr="00951F3B" w:rsidRDefault="009951C6" w:rsidP="00850F5D">
            <w:pPr>
              <w:suppressAutoHyphens w:val="0"/>
              <w:spacing w:line="276" w:lineRule="auto"/>
              <w:jc w:val="both"/>
              <w:rPr>
                <w:sz w:val="18"/>
                <w:szCs w:val="20"/>
                <w:lang w:val="en-GB" w:eastAsia="de-DE"/>
              </w:rPr>
            </w:pPr>
            <w:r w:rsidRPr="00951F3B">
              <w:rPr>
                <w:sz w:val="18"/>
                <w:szCs w:val="20"/>
                <w:lang w:val="en-GB" w:eastAsia="de-DE"/>
              </w:rPr>
              <w:t xml:space="preserve">Laboratory culture, which was </w:t>
            </w:r>
            <w:r w:rsidR="00850F5D">
              <w:rPr>
                <w:sz w:val="18"/>
                <w:szCs w:val="20"/>
                <w:lang w:val="en-GB" w:eastAsia="de-DE"/>
              </w:rPr>
              <w:t>established</w:t>
            </w:r>
            <w:r w:rsidRPr="00951F3B">
              <w:rPr>
                <w:sz w:val="18"/>
                <w:szCs w:val="20"/>
                <w:lang w:val="en-GB" w:eastAsia="de-DE"/>
              </w:rPr>
              <w:t xml:space="preserve"> with snails from Kalbach Frankfurt, Germany (August 2009)</w:t>
            </w:r>
          </w:p>
        </w:tc>
      </w:tr>
      <w:tr w:rsidR="009951C6" w:rsidRPr="00951F3B" w:rsidTr="00280083">
        <w:trPr>
          <w:trHeight w:val="298"/>
        </w:trPr>
        <w:tc>
          <w:tcPr>
            <w:tcW w:w="1749" w:type="dxa"/>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Test snails size</w:t>
            </w:r>
          </w:p>
        </w:tc>
        <w:tc>
          <w:tcPr>
            <w:tcW w:w="7462" w:type="dxa"/>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3.5 – 4.5 mm</w:t>
            </w:r>
          </w:p>
        </w:tc>
      </w:tr>
      <w:tr w:rsidR="009951C6" w:rsidRPr="000962C6" w:rsidTr="00280083">
        <w:trPr>
          <w:trHeight w:val="298"/>
        </w:trPr>
        <w:tc>
          <w:tcPr>
            <w:tcW w:w="1749" w:type="dxa"/>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Snails density</w:t>
            </w:r>
          </w:p>
        </w:tc>
        <w:tc>
          <w:tcPr>
            <w:tcW w:w="7462" w:type="dxa"/>
            <w:shd w:val="clear" w:color="auto" w:fill="auto"/>
          </w:tcPr>
          <w:p w:rsidR="009951C6" w:rsidRPr="00951F3B" w:rsidRDefault="009951C6" w:rsidP="00275CE2">
            <w:pPr>
              <w:suppressAutoHyphens w:val="0"/>
              <w:spacing w:line="276" w:lineRule="auto"/>
              <w:jc w:val="both"/>
              <w:rPr>
                <w:sz w:val="18"/>
                <w:szCs w:val="20"/>
                <w:lang w:val="en-GB" w:eastAsia="de-DE"/>
              </w:rPr>
            </w:pPr>
            <w:r w:rsidRPr="00951F3B">
              <w:rPr>
                <w:sz w:val="18"/>
                <w:szCs w:val="20"/>
                <w:lang w:val="en-GB" w:eastAsia="de-DE"/>
              </w:rPr>
              <w:t xml:space="preserve">10 snails per 800 mL medium (validation I) 10 snails per 400 mL medium </w:t>
            </w:r>
            <w:r w:rsidR="001945DE">
              <w:rPr>
                <w:sz w:val="18"/>
                <w:szCs w:val="20"/>
                <w:lang w:val="en-GB" w:eastAsia="de-DE"/>
              </w:rPr>
              <w:t xml:space="preserve">(validation II) </w:t>
            </w:r>
            <w:r w:rsidRPr="00951F3B">
              <w:rPr>
                <w:sz w:val="18"/>
                <w:szCs w:val="20"/>
                <w:lang w:val="en-GB" w:eastAsia="de-DE"/>
              </w:rPr>
              <w:t>(4 replicates per tested concentration</w:t>
            </w:r>
            <w:r w:rsidR="005A25D3">
              <w:rPr>
                <w:sz w:val="18"/>
                <w:szCs w:val="20"/>
                <w:lang w:val="en-GB" w:eastAsia="de-DE"/>
              </w:rPr>
              <w:t xml:space="preserve"> </w:t>
            </w:r>
            <w:r w:rsidR="0061433F">
              <w:rPr>
                <w:sz w:val="18"/>
                <w:szCs w:val="20"/>
                <w:lang w:val="en-GB" w:eastAsia="de-DE"/>
              </w:rPr>
              <w:t>for both validation I and II</w:t>
            </w:r>
            <w:r w:rsidRPr="00951F3B">
              <w:rPr>
                <w:sz w:val="18"/>
                <w:szCs w:val="20"/>
                <w:lang w:val="en-GB" w:eastAsia="de-DE"/>
              </w:rPr>
              <w:t>)</w:t>
            </w:r>
          </w:p>
        </w:tc>
      </w:tr>
      <w:tr w:rsidR="009951C6" w:rsidRPr="00951F3B" w:rsidTr="00280083">
        <w:trPr>
          <w:trHeight w:val="298"/>
        </w:trPr>
        <w:tc>
          <w:tcPr>
            <w:tcW w:w="1749" w:type="dxa"/>
            <w:tcBorders>
              <w:bottom w:val="single" w:sz="12" w:space="0" w:color="000000"/>
            </w:tcBorders>
            <w:shd w:val="clear" w:color="auto" w:fill="auto"/>
          </w:tcPr>
          <w:p w:rsidR="009951C6" w:rsidRPr="00951F3B" w:rsidRDefault="009951C6" w:rsidP="00280083">
            <w:pPr>
              <w:suppressAutoHyphens w:val="0"/>
              <w:spacing w:line="276" w:lineRule="auto"/>
              <w:jc w:val="both"/>
              <w:rPr>
                <w:sz w:val="18"/>
                <w:szCs w:val="20"/>
                <w:lang w:val="en-GB" w:eastAsia="de-DE"/>
              </w:rPr>
            </w:pPr>
            <w:r w:rsidRPr="00951F3B">
              <w:rPr>
                <w:sz w:val="18"/>
                <w:szCs w:val="20"/>
                <w:lang w:val="en-GB" w:eastAsia="de-DE"/>
              </w:rPr>
              <w:t>Core test endpoints</w:t>
            </w:r>
          </w:p>
        </w:tc>
        <w:tc>
          <w:tcPr>
            <w:tcW w:w="7462" w:type="dxa"/>
            <w:tcBorders>
              <w:bottom w:val="single" w:sz="12" w:space="0" w:color="000000"/>
            </w:tcBorders>
            <w:shd w:val="clear" w:color="auto" w:fill="auto"/>
          </w:tcPr>
          <w:p w:rsidR="009951C6" w:rsidRPr="00951F3B" w:rsidRDefault="00850F5D" w:rsidP="00280083">
            <w:pPr>
              <w:suppressAutoHyphens w:val="0"/>
              <w:spacing w:line="276" w:lineRule="auto"/>
              <w:jc w:val="both"/>
              <w:rPr>
                <w:sz w:val="18"/>
                <w:szCs w:val="20"/>
                <w:lang w:val="en-GB" w:eastAsia="de-DE"/>
              </w:rPr>
            </w:pPr>
            <w:r>
              <w:rPr>
                <w:sz w:val="18"/>
                <w:szCs w:val="20"/>
                <w:lang w:val="en-GB" w:eastAsia="de-DE"/>
              </w:rPr>
              <w:t>Survival</w:t>
            </w:r>
            <w:r w:rsidR="009951C6" w:rsidRPr="00951F3B">
              <w:rPr>
                <w:sz w:val="18"/>
                <w:szCs w:val="20"/>
                <w:lang w:val="en-GB" w:eastAsia="de-DE"/>
              </w:rPr>
              <w:t>, reproduction</w:t>
            </w:r>
          </w:p>
        </w:tc>
      </w:tr>
    </w:tbl>
    <w:p w:rsidR="00D80FFF" w:rsidRDefault="00D80FFF" w:rsidP="00D80FFF">
      <w:pPr>
        <w:pStyle w:val="Heading7"/>
        <w:numPr>
          <w:ilvl w:val="0"/>
          <w:numId w:val="0"/>
        </w:numPr>
        <w:tabs>
          <w:tab w:val="left" w:pos="0"/>
          <w:tab w:val="left" w:pos="720"/>
        </w:tabs>
        <w:ind w:left="1420"/>
      </w:pPr>
    </w:p>
    <w:p w:rsidR="009951C6" w:rsidRPr="00951F3B" w:rsidRDefault="009951C6" w:rsidP="00280083">
      <w:pPr>
        <w:pStyle w:val="Heading7"/>
        <w:numPr>
          <w:ilvl w:val="2"/>
          <w:numId w:val="38"/>
        </w:numPr>
        <w:tabs>
          <w:tab w:val="left" w:pos="0"/>
          <w:tab w:val="left" w:pos="720"/>
        </w:tabs>
        <w:ind w:left="709" w:firstLine="0"/>
      </w:pPr>
      <w:r w:rsidRPr="00951F3B">
        <w:t>Tested chemical</w:t>
      </w:r>
      <w:r w:rsidR="004046D8" w:rsidRPr="00951F3B">
        <w:t>s</w:t>
      </w:r>
      <w:r w:rsidRPr="00951F3B">
        <w:t xml:space="preserve"> and exposure water sampling</w:t>
      </w:r>
    </w:p>
    <w:p w:rsidR="009951C6" w:rsidRPr="00951F3B" w:rsidRDefault="009951C6" w:rsidP="00280083">
      <w:pPr>
        <w:spacing w:line="480" w:lineRule="auto"/>
        <w:rPr>
          <w:i/>
          <w:lang w:val="en-GB"/>
        </w:rPr>
      </w:pPr>
      <w:r w:rsidRPr="00951F3B">
        <w:rPr>
          <w:i/>
          <w:lang w:val="en-GB"/>
        </w:rPr>
        <w:t>Cadmium</w:t>
      </w:r>
    </w:p>
    <w:p w:rsidR="009951C6" w:rsidRPr="00951F3B" w:rsidRDefault="009951C6" w:rsidP="00280083">
      <w:pPr>
        <w:spacing w:line="480" w:lineRule="auto"/>
        <w:jc w:val="both"/>
        <w:rPr>
          <w:lang w:val="en-US"/>
        </w:rPr>
      </w:pPr>
      <w:r w:rsidRPr="00951F3B">
        <w:rPr>
          <w:lang w:val="en-GB"/>
        </w:rPr>
        <w:t>For the validation studies with cadmium</w:t>
      </w:r>
      <w:r w:rsidR="00513AD7">
        <w:rPr>
          <w:lang w:val="en-GB"/>
        </w:rPr>
        <w:t>,</w:t>
      </w:r>
      <w:r w:rsidRPr="00951F3B">
        <w:rPr>
          <w:lang w:val="en-GB"/>
        </w:rPr>
        <w:t xml:space="preserve"> different cadmium </w:t>
      </w:r>
      <w:r w:rsidR="00271E27">
        <w:rPr>
          <w:lang w:val="en-GB"/>
        </w:rPr>
        <w:t>salts were used</w:t>
      </w:r>
      <w:r w:rsidRPr="00951F3B">
        <w:rPr>
          <w:lang w:val="en-GB"/>
        </w:rPr>
        <w:t>. In validation I</w:t>
      </w:r>
      <w:r w:rsidR="00513AD7">
        <w:rPr>
          <w:lang w:val="en-GB"/>
        </w:rPr>
        <w:t>,</w:t>
      </w:r>
      <w:r w:rsidRPr="00951F3B">
        <w:rPr>
          <w:lang w:val="en-GB"/>
        </w:rPr>
        <w:t xml:space="preserve"> cadmium sulphate hydrate (CAS no. 7790-84-3) purchased from Merck KGaA (Darmstadt, Germany) was used. In validation II</w:t>
      </w:r>
      <w:r w:rsidR="00513AD7">
        <w:rPr>
          <w:lang w:val="en-GB"/>
        </w:rPr>
        <w:t>,</w:t>
      </w:r>
      <w:r w:rsidRPr="00951F3B">
        <w:rPr>
          <w:lang w:val="en-GB"/>
        </w:rPr>
        <w:t xml:space="preserve"> cadmium chloride (CAS-No.: 10108-64-2, Sigma-Aldrich</w:t>
      </w:r>
      <w:r w:rsidRPr="00951F3B">
        <w:rPr>
          <w:vertAlign w:val="superscript"/>
          <w:lang w:val="en-GB"/>
        </w:rPr>
        <w:t>®</w:t>
      </w:r>
      <w:r w:rsidRPr="00951F3B">
        <w:rPr>
          <w:lang w:val="en-GB"/>
        </w:rPr>
        <w:t xml:space="preserve">, Germany) was tested. Both, coming from a single batch, were provided to the </w:t>
      </w:r>
      <w:r w:rsidR="00850F5D">
        <w:rPr>
          <w:lang w:val="en-GB"/>
        </w:rPr>
        <w:t xml:space="preserve">participating laboratories </w:t>
      </w:r>
      <w:r w:rsidRPr="00951F3B">
        <w:rPr>
          <w:lang w:val="en-GB"/>
        </w:rPr>
        <w:t>by Goethe University. In validation I, four laboratories performed the test with cadmium sulphate hydrate (laboratory codes 1A-</w:t>
      </w:r>
      <w:r w:rsidR="0061433F" w:rsidRPr="00951F3B">
        <w:rPr>
          <w:lang w:val="en-GB"/>
        </w:rPr>
        <w:t>1</w:t>
      </w:r>
      <w:r w:rsidR="0061433F">
        <w:rPr>
          <w:lang w:val="en-GB"/>
        </w:rPr>
        <w:t>D</w:t>
      </w:r>
      <w:r w:rsidRPr="00951F3B">
        <w:rPr>
          <w:lang w:val="en-GB"/>
        </w:rPr>
        <w:t xml:space="preserve">) and five laboratories conducted the reproduction test with cadmium chloride </w:t>
      </w:r>
      <w:r w:rsidR="00513AD7">
        <w:rPr>
          <w:lang w:val="en-GB"/>
        </w:rPr>
        <w:t>for</w:t>
      </w:r>
      <w:r w:rsidR="00513AD7" w:rsidRPr="00951F3B">
        <w:rPr>
          <w:lang w:val="en-GB"/>
        </w:rPr>
        <w:t xml:space="preserve"> </w:t>
      </w:r>
      <w:r w:rsidRPr="00951F3B">
        <w:rPr>
          <w:lang w:val="en-GB"/>
        </w:rPr>
        <w:t>validation II (laboratory codes 2A, 2E-2</w:t>
      </w:r>
      <w:r w:rsidR="00733154">
        <w:rPr>
          <w:lang w:val="en-GB"/>
        </w:rPr>
        <w:t>K</w:t>
      </w:r>
      <w:r w:rsidRPr="00951F3B">
        <w:rPr>
          <w:lang w:val="en-GB"/>
        </w:rPr>
        <w:t xml:space="preserve">). The nominal cadmium concentrations were chosen based on pre-tests at Goethe University (data not shown). Five concentrations of cadmium were used with a factor of 2 between concentrations: </w:t>
      </w:r>
      <w:r w:rsidRPr="00951F3B">
        <w:rPr>
          <w:lang w:val="en-US"/>
        </w:rPr>
        <w:t>1.56, 3.13, 6.25, 12.5 and 25 µg/L. No carrier solvent was used. Stock solutions with a cadmium concentration of 250 µg/L were prepared by adding ultra</w:t>
      </w:r>
      <w:r w:rsidR="00513AD7">
        <w:rPr>
          <w:lang w:val="en-US"/>
        </w:rPr>
        <w:t>-</w:t>
      </w:r>
      <w:r w:rsidRPr="00951F3B">
        <w:rPr>
          <w:lang w:val="en-US"/>
        </w:rPr>
        <w:t xml:space="preserve">pure water to the substances. </w:t>
      </w:r>
      <w:r w:rsidR="00513AD7">
        <w:rPr>
          <w:lang w:val="en-US"/>
        </w:rPr>
        <w:t>F</w:t>
      </w:r>
      <w:r w:rsidR="00513AD7" w:rsidRPr="00951F3B">
        <w:rPr>
          <w:lang w:val="en-US"/>
        </w:rPr>
        <w:t>or lower concentrations</w:t>
      </w:r>
      <w:r w:rsidR="00513AD7">
        <w:rPr>
          <w:lang w:val="en-US"/>
        </w:rPr>
        <w:t>,</w:t>
      </w:r>
      <w:r w:rsidR="00513AD7" w:rsidRPr="00951F3B">
        <w:rPr>
          <w:lang w:val="en-US"/>
        </w:rPr>
        <w:t xml:space="preserve"> </w:t>
      </w:r>
      <w:r w:rsidR="00513AD7">
        <w:rPr>
          <w:lang w:val="en-US"/>
        </w:rPr>
        <w:t xml:space="preserve">a dilution series </w:t>
      </w:r>
      <w:r w:rsidR="00513AD7" w:rsidRPr="00951F3B">
        <w:rPr>
          <w:lang w:val="en-US"/>
        </w:rPr>
        <w:t>w</w:t>
      </w:r>
      <w:r w:rsidR="00513AD7">
        <w:rPr>
          <w:lang w:val="en-US"/>
        </w:rPr>
        <w:t>as</w:t>
      </w:r>
      <w:r w:rsidR="00513AD7" w:rsidRPr="00951F3B">
        <w:rPr>
          <w:lang w:val="en-US"/>
        </w:rPr>
        <w:t xml:space="preserve"> </w:t>
      </w:r>
      <w:r w:rsidRPr="00951F3B">
        <w:rPr>
          <w:lang w:val="en-US"/>
        </w:rPr>
        <w:t>prepared</w:t>
      </w:r>
      <w:r w:rsidR="00271E27">
        <w:rPr>
          <w:lang w:val="en-US"/>
        </w:rPr>
        <w:t xml:space="preserve"> </w:t>
      </w:r>
      <w:r w:rsidR="00513AD7">
        <w:rPr>
          <w:lang w:val="en-US"/>
        </w:rPr>
        <w:t xml:space="preserve">from </w:t>
      </w:r>
      <w:r w:rsidR="00513AD7" w:rsidRPr="00951F3B">
        <w:rPr>
          <w:lang w:val="en-US"/>
        </w:rPr>
        <w:t>t</w:t>
      </w:r>
      <w:r w:rsidR="00513AD7">
        <w:rPr>
          <w:lang w:val="en-US"/>
        </w:rPr>
        <w:t>he stock solutions.</w:t>
      </w:r>
      <w:r w:rsidR="004611F7">
        <w:rPr>
          <w:lang w:val="en-US"/>
        </w:rPr>
        <w:t xml:space="preserve"> </w:t>
      </w:r>
      <w:r w:rsidRPr="00951F3B">
        <w:rPr>
          <w:lang w:val="en-US"/>
        </w:rPr>
        <w:t xml:space="preserve">In the </w:t>
      </w:r>
      <w:r w:rsidR="00513AD7">
        <w:rPr>
          <w:lang w:val="en-US"/>
        </w:rPr>
        <w:t>first and second</w:t>
      </w:r>
      <w:r w:rsidR="00513AD7" w:rsidRPr="00951F3B">
        <w:rPr>
          <w:lang w:val="en-US"/>
        </w:rPr>
        <w:t xml:space="preserve"> </w:t>
      </w:r>
      <w:r w:rsidRPr="00951F3B">
        <w:rPr>
          <w:lang w:val="en-US"/>
        </w:rPr>
        <w:t>validation experiments</w:t>
      </w:r>
      <w:r w:rsidR="00513AD7">
        <w:rPr>
          <w:lang w:val="en-US"/>
        </w:rPr>
        <w:t>,</w:t>
      </w:r>
      <w:r w:rsidRPr="00951F3B">
        <w:rPr>
          <w:lang w:val="en-US"/>
        </w:rPr>
        <w:t xml:space="preserve"> 80 µL and 40</w:t>
      </w:r>
      <w:r w:rsidR="0061433F">
        <w:rPr>
          <w:lang w:val="en-US"/>
        </w:rPr>
        <w:t> </w:t>
      </w:r>
      <w:r w:rsidRPr="00951F3B">
        <w:rPr>
          <w:lang w:val="en-US"/>
        </w:rPr>
        <w:t xml:space="preserve">µL, respectively, of the stock solutions were added to the 1 L and 500 mL test vessels, respectively, to obtain the nominal test concentrations. To calculate the time-weighted mean (TWM) </w:t>
      </w:r>
      <w:r w:rsidR="00850F5D">
        <w:rPr>
          <w:lang w:val="en-US"/>
        </w:rPr>
        <w:t xml:space="preserve">concentrations </w:t>
      </w:r>
      <w:r w:rsidRPr="00951F3B">
        <w:rPr>
          <w:lang w:val="en-US"/>
        </w:rPr>
        <w:t xml:space="preserve">of cadmium according to annex 6 of the OECD test guideline 211 </w:t>
      </w:r>
      <w:r w:rsidRPr="00951F3B">
        <w:rPr>
          <w:noProof/>
          <w:lang w:val="en-US"/>
        </w:rPr>
        <w:t>(OECD, 2012b)</w:t>
      </w:r>
      <w:r w:rsidRPr="00951F3B">
        <w:rPr>
          <w:lang w:val="en-US"/>
        </w:rPr>
        <w:t xml:space="preserve">, 25 mL </w:t>
      </w:r>
      <w:r w:rsidR="00850F5D">
        <w:rPr>
          <w:lang w:val="en-US"/>
        </w:rPr>
        <w:t xml:space="preserve">of </w:t>
      </w:r>
      <w:r w:rsidRPr="00951F3B">
        <w:rPr>
          <w:lang w:val="en-US"/>
        </w:rPr>
        <w:t xml:space="preserve">water from all test concentrations and </w:t>
      </w:r>
      <w:r w:rsidR="00135524">
        <w:rPr>
          <w:lang w:val="en-US"/>
        </w:rPr>
        <w:t xml:space="preserve">water </w:t>
      </w:r>
      <w:r w:rsidRPr="00951F3B">
        <w:rPr>
          <w:lang w:val="en-US"/>
        </w:rPr>
        <w:t xml:space="preserve">control was sampled over two (validation I) and four (validation II) renewal intervals, respectively. </w:t>
      </w:r>
      <w:r w:rsidR="00271E27">
        <w:rPr>
          <w:lang w:val="en-US"/>
        </w:rPr>
        <w:t>S</w:t>
      </w:r>
      <w:r w:rsidRPr="00951F3B">
        <w:rPr>
          <w:lang w:val="en-US"/>
        </w:rPr>
        <w:t xml:space="preserve">amples from freshly prepared exposure media were taken </w:t>
      </w:r>
      <w:r w:rsidR="00513AD7">
        <w:rPr>
          <w:lang w:val="en-US"/>
        </w:rPr>
        <w:t>at</w:t>
      </w:r>
      <w:r w:rsidR="00513AD7" w:rsidRPr="00951F3B">
        <w:rPr>
          <w:lang w:val="en-US"/>
        </w:rPr>
        <w:t xml:space="preserve"> </w:t>
      </w:r>
      <w:r w:rsidRPr="00951F3B">
        <w:rPr>
          <w:lang w:val="en-US"/>
        </w:rPr>
        <w:t>medium renewal</w:t>
      </w:r>
      <w:r w:rsidR="00513AD7">
        <w:rPr>
          <w:lang w:val="en-US"/>
        </w:rPr>
        <w:t>,</w:t>
      </w:r>
      <w:r w:rsidRPr="00951F3B">
        <w:rPr>
          <w:lang w:val="en-US"/>
        </w:rPr>
        <w:t xml:space="preserve"> and pooled samples of all replicates were taken before medium renewal.</w:t>
      </w:r>
    </w:p>
    <w:p w:rsidR="009951C6" w:rsidRPr="00951F3B" w:rsidRDefault="009951C6" w:rsidP="00280083">
      <w:pPr>
        <w:spacing w:line="480" w:lineRule="auto"/>
        <w:jc w:val="both"/>
        <w:rPr>
          <w:lang w:val="en-US"/>
        </w:rPr>
      </w:pPr>
      <w:r w:rsidRPr="00951F3B">
        <w:rPr>
          <w:lang w:val="en-US"/>
        </w:rPr>
        <w:t>Water samples were stored in 50 mL polypropylene tubes (Sarstedt, Nümbrecht</w:t>
      </w:r>
      <w:r w:rsidR="00850F5D">
        <w:rPr>
          <w:lang w:val="en-US"/>
        </w:rPr>
        <w:t>, Germany</w:t>
      </w:r>
      <w:r w:rsidRPr="00951F3B">
        <w:rPr>
          <w:lang w:val="en-US"/>
        </w:rPr>
        <w:t>) and acidified with 65% nitric acid (Suprapur</w:t>
      </w:r>
      <w:r w:rsidRPr="00951F3B">
        <w:rPr>
          <w:vertAlign w:val="superscript"/>
          <w:lang w:val="en-US"/>
        </w:rPr>
        <w:t>®</w:t>
      </w:r>
      <w:r w:rsidRPr="00951F3B">
        <w:rPr>
          <w:lang w:val="en-US"/>
        </w:rPr>
        <w:t>, Merck KGaA, Darmstadt</w:t>
      </w:r>
      <w:r w:rsidR="00850F5D">
        <w:rPr>
          <w:lang w:val="en-US"/>
        </w:rPr>
        <w:t>, Germany</w:t>
      </w:r>
      <w:r w:rsidRPr="00951F3B">
        <w:rPr>
          <w:lang w:val="en-US"/>
        </w:rPr>
        <w:t>). Chemical analysis was performed via inductively coupled plasma mass spectrometry (ICP-</w:t>
      </w:r>
      <w:r w:rsidRPr="00951F3B">
        <w:rPr>
          <w:lang w:val="en-US"/>
        </w:rPr>
        <w:lastRenderedPageBreak/>
        <w:t>MS, ELAN DCR-e, Perkin Elmer, Überlingen</w:t>
      </w:r>
      <w:r w:rsidR="00850F5D">
        <w:rPr>
          <w:lang w:val="en-US"/>
        </w:rPr>
        <w:t>, Germany</w:t>
      </w:r>
      <w:r w:rsidRPr="00951F3B">
        <w:rPr>
          <w:lang w:val="en-US"/>
        </w:rPr>
        <w:t xml:space="preserve">) in validation I at the International Graduate School Zittau, Chair Environmental Technology </w:t>
      </w:r>
      <w:r w:rsidR="00A920FF">
        <w:rPr>
          <w:lang w:val="en-US"/>
        </w:rPr>
        <w:t xml:space="preserve">in validation I </w:t>
      </w:r>
      <w:r w:rsidRPr="00951F3B">
        <w:rPr>
          <w:lang w:val="en-US"/>
        </w:rPr>
        <w:t xml:space="preserve">and at chemlab GmbH Bensheim, Germany </w:t>
      </w:r>
      <w:r w:rsidR="00A920FF" w:rsidRPr="00951F3B">
        <w:rPr>
          <w:lang w:val="en-US"/>
        </w:rPr>
        <w:t>in validation  II</w:t>
      </w:r>
      <w:r w:rsidR="00513AD7">
        <w:rPr>
          <w:lang w:val="en-US"/>
        </w:rPr>
        <w:t>,</w:t>
      </w:r>
      <w:r w:rsidR="00A920FF" w:rsidRPr="00951F3B">
        <w:rPr>
          <w:lang w:val="en-US"/>
        </w:rPr>
        <w:t xml:space="preserve"> </w:t>
      </w:r>
      <w:r w:rsidRPr="00951F3B">
        <w:rPr>
          <w:lang w:val="en-US"/>
        </w:rPr>
        <w:t>according to DIN EN ISO 1729</w:t>
      </w:r>
      <w:r w:rsidR="00C94B42" w:rsidRPr="00951F3B">
        <w:rPr>
          <w:lang w:val="en-US"/>
        </w:rPr>
        <w:t>4</w:t>
      </w:r>
      <w:r w:rsidRPr="00951F3B">
        <w:rPr>
          <w:lang w:val="en-US"/>
        </w:rPr>
        <w:t xml:space="preserve">-2 (2005). </w:t>
      </w:r>
      <w:r w:rsidR="00A920FF">
        <w:rPr>
          <w:lang w:val="en-US"/>
        </w:rPr>
        <w:t>For the first and second validation studies</w:t>
      </w:r>
      <w:r w:rsidR="00513AD7">
        <w:rPr>
          <w:lang w:val="en-US"/>
        </w:rPr>
        <w:t>,</w:t>
      </w:r>
      <w:r w:rsidR="00A920FF">
        <w:rPr>
          <w:lang w:val="en-US"/>
        </w:rPr>
        <w:t xml:space="preserve"> t</w:t>
      </w:r>
      <w:r w:rsidRPr="00951F3B">
        <w:rPr>
          <w:lang w:val="en-US"/>
        </w:rPr>
        <w:t>he limits of determination (LOD) were 0.01 μg/L and 0.</w:t>
      </w:r>
      <w:r w:rsidR="00011BFC" w:rsidRPr="00951F3B">
        <w:rPr>
          <w:lang w:val="en-US"/>
        </w:rPr>
        <w:t>0</w:t>
      </w:r>
      <w:r w:rsidRPr="00951F3B">
        <w:rPr>
          <w:lang w:val="en-US"/>
        </w:rPr>
        <w:t>3 µg/L, respectively; the limits of quantification (LOQ) were 0.025 μg/L and 0.</w:t>
      </w:r>
      <w:r w:rsidR="00011BFC" w:rsidRPr="00951F3B">
        <w:rPr>
          <w:lang w:val="en-US"/>
        </w:rPr>
        <w:t>5</w:t>
      </w:r>
      <w:r w:rsidRPr="00951F3B">
        <w:rPr>
          <w:lang w:val="en-US"/>
        </w:rPr>
        <w:t> µg/L, respectively.</w:t>
      </w:r>
    </w:p>
    <w:p w:rsidR="009951C6" w:rsidRPr="00951F3B" w:rsidRDefault="009951C6" w:rsidP="00280083">
      <w:pPr>
        <w:spacing w:line="480" w:lineRule="auto"/>
        <w:jc w:val="both"/>
        <w:rPr>
          <w:lang w:val="en-US"/>
        </w:rPr>
      </w:pPr>
    </w:p>
    <w:p w:rsidR="009951C6" w:rsidRPr="00951F3B" w:rsidRDefault="009951C6" w:rsidP="00280083">
      <w:pPr>
        <w:spacing w:line="480" w:lineRule="auto"/>
        <w:jc w:val="both"/>
        <w:rPr>
          <w:i/>
          <w:lang w:val="en-US"/>
        </w:rPr>
      </w:pPr>
      <w:r w:rsidRPr="00951F3B">
        <w:rPr>
          <w:i/>
          <w:lang w:val="en-US"/>
        </w:rPr>
        <w:t>Tributyltin</w:t>
      </w:r>
    </w:p>
    <w:p w:rsidR="009951C6" w:rsidRPr="00951F3B" w:rsidRDefault="009951C6" w:rsidP="00280083">
      <w:pPr>
        <w:spacing w:line="480" w:lineRule="auto"/>
        <w:jc w:val="both"/>
        <w:rPr>
          <w:lang w:val="en-US"/>
        </w:rPr>
      </w:pPr>
      <w:r w:rsidRPr="00951F3B">
        <w:rPr>
          <w:lang w:val="en-US"/>
        </w:rPr>
        <w:t>TBT</w:t>
      </w:r>
      <w:r w:rsidR="004046D8" w:rsidRPr="00951F3B">
        <w:rPr>
          <w:lang w:val="en-US"/>
        </w:rPr>
        <w:t xml:space="preserve"> was</w:t>
      </w:r>
      <w:r w:rsidRPr="00951F3B">
        <w:rPr>
          <w:lang w:val="en-US"/>
        </w:rPr>
        <w:t xml:space="preserve"> tested </w:t>
      </w:r>
      <w:r w:rsidR="004046D8" w:rsidRPr="00951F3B">
        <w:rPr>
          <w:lang w:val="en-US"/>
        </w:rPr>
        <w:t xml:space="preserve">as </w:t>
      </w:r>
      <w:r w:rsidRPr="00951F3B">
        <w:rPr>
          <w:lang w:val="en-US"/>
        </w:rPr>
        <w:t>tributyltin chloride (96% purity, CAS No. 1461-22-9, Merck Schuchardt OHG, Hohenbrunn, Germany)</w:t>
      </w:r>
      <w:r w:rsidRPr="000962C6">
        <w:rPr>
          <w:lang w:val="en-GB"/>
        </w:rPr>
        <w:t xml:space="preserve"> </w:t>
      </w:r>
      <w:r w:rsidRPr="00951F3B">
        <w:rPr>
          <w:lang w:val="en-US"/>
        </w:rPr>
        <w:t xml:space="preserve">from a single batch, </w:t>
      </w:r>
      <w:r w:rsidR="004046D8" w:rsidRPr="00951F3B">
        <w:rPr>
          <w:lang w:val="en-US"/>
        </w:rPr>
        <w:t xml:space="preserve">which </w:t>
      </w:r>
      <w:r w:rsidRPr="00951F3B">
        <w:rPr>
          <w:lang w:val="en-US"/>
        </w:rPr>
        <w:t xml:space="preserve">was provided to the </w:t>
      </w:r>
      <w:r w:rsidR="00A920FF">
        <w:rPr>
          <w:lang w:val="en-US"/>
        </w:rPr>
        <w:t>participating laboratories</w:t>
      </w:r>
      <w:r w:rsidR="00A920FF" w:rsidRPr="00951F3B">
        <w:rPr>
          <w:lang w:val="en-US"/>
        </w:rPr>
        <w:t xml:space="preserve"> </w:t>
      </w:r>
      <w:r w:rsidRPr="00951F3B">
        <w:rPr>
          <w:lang w:val="en-US"/>
        </w:rPr>
        <w:t>by Goethe University. The nominal TBT concentrations were chosen based on pre-tests at Goethe University (data not shown). All laboratories tested concentrations ranging from 10 to 400 ng TBT-Sn/L, except for laborator</w:t>
      </w:r>
      <w:r w:rsidR="00135524">
        <w:rPr>
          <w:lang w:val="en-US"/>
        </w:rPr>
        <w:t>y</w:t>
      </w:r>
      <w:r w:rsidRPr="00951F3B">
        <w:rPr>
          <w:lang w:val="en-US"/>
        </w:rPr>
        <w:t xml:space="preserve"> 2J</w:t>
      </w:r>
      <w:r w:rsidR="00135524">
        <w:rPr>
          <w:lang w:val="en-US"/>
        </w:rPr>
        <w:t xml:space="preserve"> and a replication study</w:t>
      </w:r>
      <w:r w:rsidR="00135524" w:rsidRPr="00951F3B">
        <w:rPr>
          <w:lang w:val="en-US"/>
        </w:rPr>
        <w:t xml:space="preserve"> at</w:t>
      </w:r>
      <w:r w:rsidR="00135524">
        <w:rPr>
          <w:lang w:val="en-US"/>
        </w:rPr>
        <w:t xml:space="preserve"> laboratory 2A</w:t>
      </w:r>
      <w:r w:rsidRPr="00951F3B">
        <w:rPr>
          <w:lang w:val="en-US"/>
        </w:rPr>
        <w:t>. Because a statistically significant reduction of embryo numbers occurred only at the highest tested concentration in most of the reproduction tests, laboratories 2A</w:t>
      </w:r>
      <w:r w:rsidR="00733154">
        <w:rPr>
          <w:lang w:val="en-US"/>
        </w:rPr>
        <w:t>b</w:t>
      </w:r>
      <w:r w:rsidRPr="00951F3B">
        <w:rPr>
          <w:lang w:val="en-US"/>
        </w:rPr>
        <w:t xml:space="preserve"> and 2J </w:t>
      </w:r>
      <w:r w:rsidR="00135524">
        <w:rPr>
          <w:lang w:val="en-US"/>
        </w:rPr>
        <w:t>performed</w:t>
      </w:r>
      <w:r w:rsidRPr="00951F3B">
        <w:rPr>
          <w:lang w:val="en-US"/>
        </w:rPr>
        <w:t xml:space="preserve"> the reproduction test with </w:t>
      </w:r>
      <w:r w:rsidRPr="00951F3B">
        <w:rPr>
          <w:i/>
          <w:lang w:val="en-US"/>
        </w:rPr>
        <w:t>P. antipodarum</w:t>
      </w:r>
      <w:r w:rsidRPr="00951F3B">
        <w:rPr>
          <w:lang w:val="en-US"/>
        </w:rPr>
        <w:t xml:space="preserve"> in a concentration range from 25 up to 1000 ng TBT-Sn/L. Glacial acetic acid (100% purity, CAS No. 64-19-7, Merck KGaA Darmstadt, Germany) containing max. 0.002% hydrochloric acid (Suprapur®, CAS No. 7647-01-0, Merck KGaA Darmstadt, Germany) was used as solvent for TBT exposure groups. The resulting solvent concentration in the test vessels of all TBT exposed groups and of the solvent control was 10</w:t>
      </w:r>
      <w:r w:rsidR="00C3649E">
        <w:rPr>
          <w:lang w:val="en-US"/>
        </w:rPr>
        <w:t> </w:t>
      </w:r>
      <w:r w:rsidRPr="00951F3B">
        <w:rPr>
          <w:lang w:val="en-US"/>
        </w:rPr>
        <w:t>µL/L</w:t>
      </w:r>
      <w:r w:rsidR="00E97F0F" w:rsidRPr="00951F3B">
        <w:rPr>
          <w:lang w:val="en-US"/>
        </w:rPr>
        <w:t>.</w:t>
      </w:r>
    </w:p>
    <w:p w:rsidR="009951C6" w:rsidRPr="00951F3B" w:rsidRDefault="009951C6" w:rsidP="00280083">
      <w:pPr>
        <w:spacing w:line="480" w:lineRule="auto"/>
        <w:jc w:val="both"/>
        <w:rPr>
          <w:lang w:val="en-US"/>
        </w:rPr>
      </w:pPr>
      <w:r w:rsidRPr="00951F3B">
        <w:rPr>
          <w:lang w:val="en-US"/>
        </w:rPr>
        <w:t>Analytical measurements for TBT were performed by chemlab GmbH, Bensheim, Germany</w:t>
      </w:r>
      <w:r w:rsidR="00A920FF">
        <w:rPr>
          <w:lang w:val="en-US"/>
        </w:rPr>
        <w:t>,</w:t>
      </w:r>
      <w:r w:rsidRPr="00951F3B">
        <w:rPr>
          <w:lang w:val="en-US"/>
        </w:rPr>
        <w:t xml:space="preserve"> according to DIN EN ISO 17353-F13 by gas chromatography (Agilent 7890A with Agilent 5975C). </w:t>
      </w:r>
      <w:r w:rsidR="00FB7EE0">
        <w:rPr>
          <w:lang w:val="en-US"/>
        </w:rPr>
        <w:t>Pooled w</w:t>
      </w:r>
      <w:r w:rsidR="00271E27">
        <w:rPr>
          <w:lang w:val="en-US"/>
        </w:rPr>
        <w:t>ater f</w:t>
      </w:r>
      <w:r w:rsidRPr="00951F3B">
        <w:rPr>
          <w:lang w:val="en-US"/>
        </w:rPr>
        <w:t xml:space="preserve">rom all test concentrations and solvent controls was sampled over two renewal intervals. Water samples were stored in high density polyethylene amber bottles at 4°C in darkness before analysis. Sample volume was 1000 mL for the lowest test </w:t>
      </w:r>
      <w:r w:rsidRPr="00951F3B">
        <w:rPr>
          <w:lang w:val="en-US"/>
        </w:rPr>
        <w:lastRenderedPageBreak/>
        <w:t>concentration and the solvent controls, 500 mL for samples of nominal 25 ng/L and 250 mL for the three highest test concentrations. The LOD was 0.82 ng</w:t>
      </w:r>
      <w:r w:rsidR="00854E3F" w:rsidRPr="00951F3B">
        <w:rPr>
          <w:lang w:val="en-US"/>
        </w:rPr>
        <w:t> </w:t>
      </w:r>
      <w:r w:rsidR="00AC4A4C">
        <w:rPr>
          <w:lang w:val="en-US"/>
        </w:rPr>
        <w:t>TBT</w:t>
      </w:r>
      <w:r w:rsidRPr="00951F3B">
        <w:rPr>
          <w:lang w:val="en-US"/>
        </w:rPr>
        <w:t> Sn/L, the LOQ was 2.05 ng </w:t>
      </w:r>
      <w:r w:rsidR="00AC4A4C">
        <w:rPr>
          <w:lang w:val="en-US"/>
        </w:rPr>
        <w:t>TBT-</w:t>
      </w:r>
      <w:r w:rsidRPr="00951F3B">
        <w:rPr>
          <w:lang w:val="en-US"/>
        </w:rPr>
        <w:t>Sn/L.</w:t>
      </w:r>
    </w:p>
    <w:p w:rsidR="009951C6" w:rsidRPr="00951F3B" w:rsidRDefault="009951C6" w:rsidP="00280083">
      <w:pPr>
        <w:pStyle w:val="ListParagraph"/>
        <w:ind w:left="0"/>
        <w:jc w:val="both"/>
        <w:rPr>
          <w:lang w:val="en-GB"/>
        </w:rPr>
      </w:pPr>
    </w:p>
    <w:p w:rsidR="009951C6" w:rsidRPr="00951F3B" w:rsidRDefault="009951C6" w:rsidP="00280083">
      <w:pPr>
        <w:pStyle w:val="ListParagraph"/>
        <w:jc w:val="both"/>
        <w:rPr>
          <w:i/>
          <w:lang w:val="en-GB"/>
        </w:rPr>
      </w:pPr>
    </w:p>
    <w:p w:rsidR="009951C6" w:rsidRPr="00951F3B" w:rsidRDefault="009951C6" w:rsidP="00280083">
      <w:pPr>
        <w:numPr>
          <w:ilvl w:val="2"/>
          <w:numId w:val="38"/>
        </w:numPr>
        <w:spacing w:line="480" w:lineRule="auto"/>
        <w:ind w:left="709" w:firstLine="0"/>
        <w:jc w:val="both"/>
        <w:rPr>
          <w:i/>
          <w:lang w:val="en-GB"/>
        </w:rPr>
      </w:pPr>
      <w:r w:rsidRPr="00951F3B">
        <w:rPr>
          <w:i/>
          <w:lang w:val="en-GB"/>
        </w:rPr>
        <w:t xml:space="preserve">Test validity criteria </w:t>
      </w:r>
    </w:p>
    <w:p w:rsidR="009951C6" w:rsidRPr="00951F3B" w:rsidRDefault="009951C6" w:rsidP="00280083">
      <w:pPr>
        <w:spacing w:line="480" w:lineRule="auto"/>
        <w:jc w:val="both"/>
        <w:rPr>
          <w:lang w:val="en-GB"/>
        </w:rPr>
      </w:pPr>
      <w:r w:rsidRPr="00951F3B">
        <w:rPr>
          <w:lang w:val="en-GB"/>
        </w:rPr>
        <w:t xml:space="preserve">The following conditions </w:t>
      </w:r>
      <w:r w:rsidR="001F3DEC">
        <w:rPr>
          <w:lang w:val="en-GB"/>
        </w:rPr>
        <w:t xml:space="preserve">were </w:t>
      </w:r>
      <w:r w:rsidR="00FB7EE0">
        <w:rPr>
          <w:lang w:val="en-GB"/>
        </w:rPr>
        <w:t>set as validity criteria for validation I and II</w:t>
      </w:r>
      <w:r w:rsidR="00E97F0F" w:rsidRPr="00951F3B">
        <w:rPr>
          <w:lang w:val="en-GB"/>
        </w:rPr>
        <w:t>:</w:t>
      </w:r>
      <w:r w:rsidRPr="00951F3B">
        <w:rPr>
          <w:lang w:val="en-GB"/>
        </w:rPr>
        <w:t xml:space="preserve"> </w:t>
      </w:r>
    </w:p>
    <w:p w:rsidR="009951C6" w:rsidRPr="00951F3B" w:rsidRDefault="009951C6" w:rsidP="00280083">
      <w:pPr>
        <w:numPr>
          <w:ilvl w:val="0"/>
          <w:numId w:val="43"/>
        </w:numPr>
        <w:spacing w:line="480" w:lineRule="auto"/>
        <w:jc w:val="both"/>
        <w:rPr>
          <w:lang w:val="en-GB"/>
        </w:rPr>
      </w:pPr>
      <w:r w:rsidRPr="00951F3B">
        <w:rPr>
          <w:lang w:val="en-GB"/>
        </w:rPr>
        <w:t xml:space="preserve">The dissolved oxygen value </w:t>
      </w:r>
      <w:r w:rsidR="00A920FF">
        <w:rPr>
          <w:lang w:val="en-GB"/>
        </w:rPr>
        <w:t>should be</w:t>
      </w:r>
      <w:r w:rsidR="00A920FF" w:rsidRPr="00951F3B">
        <w:rPr>
          <w:lang w:val="en-GB"/>
        </w:rPr>
        <w:t xml:space="preserve"> </w:t>
      </w:r>
      <w:r w:rsidRPr="00951F3B">
        <w:rPr>
          <w:lang w:val="en-GB"/>
        </w:rPr>
        <w:t>at least 60% of the air saturation value in the controls throughout the test</w:t>
      </w:r>
    </w:p>
    <w:p w:rsidR="009951C6" w:rsidRPr="00951F3B" w:rsidRDefault="00FB7EE0" w:rsidP="00280083">
      <w:pPr>
        <w:numPr>
          <w:ilvl w:val="0"/>
          <w:numId w:val="43"/>
        </w:numPr>
        <w:spacing w:line="480" w:lineRule="auto"/>
        <w:jc w:val="both"/>
        <w:rPr>
          <w:lang w:val="en-GB"/>
        </w:rPr>
      </w:pPr>
      <w:r>
        <w:rPr>
          <w:lang w:val="en-GB"/>
        </w:rPr>
        <w:t>Overall m</w:t>
      </w:r>
      <w:r w:rsidRPr="00951F3B">
        <w:rPr>
          <w:lang w:val="en-GB"/>
        </w:rPr>
        <w:t xml:space="preserve">ortality </w:t>
      </w:r>
      <w:r w:rsidR="009951C6" w:rsidRPr="00951F3B">
        <w:rPr>
          <w:lang w:val="en-GB"/>
        </w:rPr>
        <w:t xml:space="preserve">in </w:t>
      </w:r>
      <w:r w:rsidR="001F3DEC">
        <w:rPr>
          <w:lang w:val="en-GB"/>
        </w:rPr>
        <w:t xml:space="preserve">the </w:t>
      </w:r>
      <w:r w:rsidR="009951C6" w:rsidRPr="00951F3B">
        <w:rPr>
          <w:lang w:val="en-GB"/>
        </w:rPr>
        <w:t>control groups should not exceed 20% at the end of the test</w:t>
      </w:r>
      <w:r w:rsidR="00E97F0F" w:rsidRPr="00951F3B">
        <w:rPr>
          <w:lang w:val="en-GB"/>
        </w:rPr>
        <w:t>.</w:t>
      </w:r>
    </w:p>
    <w:p w:rsidR="009951C6" w:rsidRPr="00951F3B" w:rsidRDefault="009951C6" w:rsidP="00280083">
      <w:pPr>
        <w:spacing w:line="480" w:lineRule="auto"/>
        <w:ind w:left="360"/>
        <w:jc w:val="both"/>
        <w:rPr>
          <w:lang w:val="en-GB"/>
        </w:rPr>
      </w:pPr>
      <w:r w:rsidRPr="00951F3B">
        <w:rPr>
          <w:lang w:val="en-GB"/>
        </w:rPr>
        <w:t>For validation II</w:t>
      </w:r>
      <w:r w:rsidR="00FB7EE0">
        <w:rPr>
          <w:lang w:val="en-GB"/>
        </w:rPr>
        <w:t>,</w:t>
      </w:r>
      <w:r w:rsidRPr="00951F3B">
        <w:rPr>
          <w:lang w:val="en-GB"/>
        </w:rPr>
        <w:t xml:space="preserve"> a third validity </w:t>
      </w:r>
      <w:r w:rsidR="00854E3F" w:rsidRPr="00951F3B">
        <w:rPr>
          <w:lang w:val="en-GB"/>
        </w:rPr>
        <w:t>criteri</w:t>
      </w:r>
      <w:r w:rsidR="00854E3F">
        <w:rPr>
          <w:lang w:val="en-GB"/>
        </w:rPr>
        <w:t>on</w:t>
      </w:r>
      <w:r w:rsidR="00854E3F" w:rsidRPr="00951F3B">
        <w:rPr>
          <w:lang w:val="en-GB"/>
        </w:rPr>
        <w:t xml:space="preserve"> </w:t>
      </w:r>
      <w:r w:rsidRPr="00951F3B">
        <w:rPr>
          <w:lang w:val="en-GB"/>
        </w:rPr>
        <w:t xml:space="preserve">was </w:t>
      </w:r>
      <w:r w:rsidR="00A920FF">
        <w:rPr>
          <w:lang w:val="en-GB"/>
        </w:rPr>
        <w:t>added</w:t>
      </w:r>
      <w:r w:rsidR="00A920FF" w:rsidRPr="00951F3B">
        <w:rPr>
          <w:lang w:val="en-GB"/>
        </w:rPr>
        <w:t xml:space="preserve"> </w:t>
      </w:r>
      <w:r w:rsidRPr="00951F3B">
        <w:rPr>
          <w:lang w:val="en-GB"/>
        </w:rPr>
        <w:t xml:space="preserve">to </w:t>
      </w:r>
      <w:r w:rsidR="00A920FF" w:rsidRPr="00951F3B">
        <w:rPr>
          <w:lang w:val="en-GB"/>
        </w:rPr>
        <w:t>a</w:t>
      </w:r>
      <w:r w:rsidR="00A920FF">
        <w:rPr>
          <w:lang w:val="en-GB"/>
        </w:rPr>
        <w:t>lign</w:t>
      </w:r>
      <w:r w:rsidR="00A920FF" w:rsidRPr="00951F3B">
        <w:rPr>
          <w:lang w:val="en-GB"/>
        </w:rPr>
        <w:t xml:space="preserve"> </w:t>
      </w:r>
      <w:r w:rsidRPr="00951F3B">
        <w:rPr>
          <w:lang w:val="en-GB"/>
        </w:rPr>
        <w:t xml:space="preserve">the draft test guideline with available guidelines for freshwater invertebrates </w:t>
      </w:r>
      <w:r w:rsidRPr="00951F3B">
        <w:rPr>
          <w:noProof/>
          <w:lang w:val="en-GB"/>
        </w:rPr>
        <w:t>(OECD, 2004</w:t>
      </w:r>
      <w:r w:rsidR="00C94B42" w:rsidRPr="00951F3B">
        <w:rPr>
          <w:noProof/>
          <w:lang w:val="en-GB"/>
        </w:rPr>
        <w:t xml:space="preserve">, </w:t>
      </w:r>
      <w:r w:rsidRPr="00951F3B">
        <w:rPr>
          <w:noProof/>
          <w:lang w:val="en-GB"/>
        </w:rPr>
        <w:t>2012b)</w:t>
      </w:r>
      <w:r w:rsidRPr="00951F3B">
        <w:rPr>
          <w:lang w:val="en-GB"/>
        </w:rPr>
        <w:t>:</w:t>
      </w:r>
    </w:p>
    <w:p w:rsidR="009951C6" w:rsidRPr="00951F3B" w:rsidRDefault="009951C6" w:rsidP="00280083">
      <w:pPr>
        <w:numPr>
          <w:ilvl w:val="0"/>
          <w:numId w:val="43"/>
        </w:numPr>
        <w:spacing w:line="480" w:lineRule="auto"/>
        <w:jc w:val="both"/>
        <w:rPr>
          <w:lang w:val="en-GB"/>
        </w:rPr>
      </w:pPr>
      <w:r w:rsidRPr="00951F3B">
        <w:rPr>
          <w:lang w:val="en-GB"/>
        </w:rPr>
        <w:t>Water temperature should be 16 ± 1°C throughout the test in all exposure groups</w:t>
      </w:r>
    </w:p>
    <w:p w:rsidR="009951C6" w:rsidRPr="00951F3B" w:rsidRDefault="009951C6" w:rsidP="00280083">
      <w:pPr>
        <w:spacing w:line="480" w:lineRule="auto"/>
        <w:jc w:val="both"/>
        <w:rPr>
          <w:lang w:val="en-GB"/>
        </w:rPr>
      </w:pPr>
    </w:p>
    <w:p w:rsidR="009951C6" w:rsidRPr="00951F3B" w:rsidRDefault="009951C6" w:rsidP="00280083">
      <w:pPr>
        <w:numPr>
          <w:ilvl w:val="1"/>
          <w:numId w:val="38"/>
        </w:numPr>
        <w:spacing w:line="480" w:lineRule="auto"/>
        <w:jc w:val="both"/>
        <w:rPr>
          <w:i/>
          <w:lang w:val="en-GB"/>
        </w:rPr>
      </w:pPr>
      <w:r w:rsidRPr="00951F3B">
        <w:rPr>
          <w:i/>
          <w:lang w:val="en-GB"/>
        </w:rPr>
        <w:t>Raw data recording and analysis</w:t>
      </w:r>
    </w:p>
    <w:p w:rsidR="009951C6" w:rsidRDefault="009951C6" w:rsidP="00280083">
      <w:pPr>
        <w:spacing w:line="480" w:lineRule="auto"/>
        <w:jc w:val="both"/>
        <w:rPr>
          <w:lang w:val="en-GB"/>
        </w:rPr>
      </w:pPr>
      <w:r w:rsidRPr="00951F3B">
        <w:rPr>
          <w:lang w:val="en-GB"/>
        </w:rPr>
        <w:t>Embryo number and shell length</w:t>
      </w:r>
      <w:r w:rsidR="00A920FF">
        <w:rPr>
          <w:lang w:val="en-GB"/>
        </w:rPr>
        <w:t xml:space="preserve"> for each</w:t>
      </w:r>
      <w:r w:rsidRPr="00951F3B">
        <w:rPr>
          <w:lang w:val="en-GB"/>
        </w:rPr>
        <w:t xml:space="preserve"> female were recorded </w:t>
      </w:r>
      <w:r w:rsidR="00A920FF">
        <w:rPr>
          <w:lang w:val="en-GB"/>
        </w:rPr>
        <w:t>and entered</w:t>
      </w:r>
      <w:r w:rsidRPr="00951F3B">
        <w:rPr>
          <w:lang w:val="en-GB"/>
        </w:rPr>
        <w:t xml:space="preserve"> </w:t>
      </w:r>
      <w:r w:rsidR="00A920FF">
        <w:rPr>
          <w:lang w:val="en-GB"/>
        </w:rPr>
        <w:t xml:space="preserve">into </w:t>
      </w:r>
      <w:r w:rsidRPr="00951F3B">
        <w:rPr>
          <w:lang w:val="en-GB"/>
        </w:rPr>
        <w:t>an Excel</w:t>
      </w:r>
      <w:r w:rsidRPr="00951F3B">
        <w:rPr>
          <w:vertAlign w:val="superscript"/>
          <w:lang w:val="en-GB"/>
        </w:rPr>
        <w:t>®</w:t>
      </w:r>
      <w:r w:rsidRPr="00951F3B">
        <w:rPr>
          <w:lang w:val="en-GB"/>
        </w:rPr>
        <w:t xml:space="preserve"> (Microsoft Corporation, Redmond, USA) spreadsheet previously prepared by the ring-test coordinator. Statistical analysis was carried out using GraphPad Prism</w:t>
      </w:r>
      <w:r w:rsidRPr="00951F3B">
        <w:rPr>
          <w:vertAlign w:val="superscript"/>
          <w:lang w:val="en-GB"/>
        </w:rPr>
        <w:t>®</w:t>
      </w:r>
      <w:r w:rsidRPr="00951F3B">
        <w:rPr>
          <w:lang w:val="en-GB"/>
        </w:rPr>
        <w:t xml:space="preserve"> (Version 5.03, GraphPad Software Inc., San Diego, USA). </w:t>
      </w:r>
      <w:r w:rsidR="00A920FF" w:rsidRPr="00A920FF">
        <w:rPr>
          <w:lang w:val="en-GB"/>
        </w:rPr>
        <w:t>Fisher’s exact test was used to test for differences in survival b</w:t>
      </w:r>
      <w:r w:rsidR="00A920FF">
        <w:rPr>
          <w:lang w:val="en-GB"/>
        </w:rPr>
        <w:t>etween treatments and controls</w:t>
      </w:r>
      <w:r w:rsidR="00A920FF" w:rsidRPr="00A920FF">
        <w:rPr>
          <w:lang w:val="en-GB"/>
        </w:rPr>
        <w:t>.</w:t>
      </w:r>
      <w:r w:rsidRPr="00951F3B">
        <w:rPr>
          <w:lang w:val="en-GB"/>
        </w:rPr>
        <w:t xml:space="preserve"> Embryo numbers were analysed as arithmetic means of each replicate using one-way analysis of variance (one-way ANOVA) followed by Dunnett´s multiple comparison test to evaluate statistical differences </w:t>
      </w:r>
      <w:r w:rsidR="001F3DEC">
        <w:rPr>
          <w:lang w:val="en-GB"/>
        </w:rPr>
        <w:t>from</w:t>
      </w:r>
      <w:r w:rsidRPr="00951F3B">
        <w:rPr>
          <w:lang w:val="en-GB"/>
        </w:rPr>
        <w:t xml:space="preserve"> the </w:t>
      </w:r>
      <w:r w:rsidR="001F3DEC">
        <w:rPr>
          <w:lang w:val="en-GB"/>
        </w:rPr>
        <w:t>respective</w:t>
      </w:r>
      <w:r w:rsidR="001F3DEC" w:rsidRPr="00951F3B">
        <w:rPr>
          <w:lang w:val="en-GB"/>
        </w:rPr>
        <w:t xml:space="preserve"> </w:t>
      </w:r>
      <w:r w:rsidRPr="00951F3B">
        <w:rPr>
          <w:lang w:val="en-GB"/>
        </w:rPr>
        <w:t>control group</w:t>
      </w:r>
      <w:r w:rsidR="00733154">
        <w:rPr>
          <w:lang w:val="en-GB"/>
        </w:rPr>
        <w:t>,</w:t>
      </w:r>
      <w:r w:rsidR="00854E3F" w:rsidRPr="00854E3F">
        <w:rPr>
          <w:lang w:val="en-GB"/>
        </w:rPr>
        <w:t xml:space="preserve"> </w:t>
      </w:r>
      <w:r w:rsidR="00854E3F" w:rsidRPr="00951F3B">
        <w:rPr>
          <w:lang w:val="en-GB"/>
        </w:rPr>
        <w:t>if requirements for these parametric tests were fulfilled (normal distribution and homogeneity of variance)</w:t>
      </w:r>
      <w:r w:rsidR="00854E3F">
        <w:rPr>
          <w:lang w:val="en-GB"/>
        </w:rPr>
        <w:t>.</w:t>
      </w:r>
      <w:r w:rsidRPr="00951F3B">
        <w:rPr>
          <w:lang w:val="en-GB"/>
        </w:rPr>
        <w:t xml:space="preserve"> If normal distribution and homogeneity of variances could not be achieved even after a logarithmic or square root transformation of data, significant differences between exposure groups were assessed using the Kruskal-Wallis test followed by Dunn´s multiple comparison test. </w:t>
      </w:r>
      <w:r w:rsidR="00854E3F" w:rsidRPr="000962C6">
        <w:rPr>
          <w:lang w:val="en-GB"/>
        </w:rPr>
        <w:t>W</w:t>
      </w:r>
      <w:r w:rsidR="00854E3F" w:rsidRPr="00951F3B">
        <w:rPr>
          <w:lang w:val="en-GB"/>
        </w:rPr>
        <w:t xml:space="preserve">ater and solvent controls </w:t>
      </w:r>
      <w:r w:rsidR="00854E3F">
        <w:rPr>
          <w:lang w:val="en-GB"/>
        </w:rPr>
        <w:t xml:space="preserve">were combined </w:t>
      </w:r>
      <w:r w:rsidR="00854E3F" w:rsidRPr="00951F3B">
        <w:rPr>
          <w:lang w:val="en-GB"/>
        </w:rPr>
        <w:t xml:space="preserve">for TBT because </w:t>
      </w:r>
      <w:r w:rsidR="00854E3F" w:rsidRPr="00951F3B">
        <w:rPr>
          <w:lang w:val="en-GB"/>
        </w:rPr>
        <w:lastRenderedPageBreak/>
        <w:t>they were not statistically significantly different</w:t>
      </w:r>
      <w:r w:rsidR="00854E3F" w:rsidRPr="000962C6">
        <w:rPr>
          <w:lang w:val="en-GB"/>
        </w:rPr>
        <w:t xml:space="preserve"> </w:t>
      </w:r>
      <w:r w:rsidR="00854E3F" w:rsidRPr="00951F3B">
        <w:rPr>
          <w:noProof/>
          <w:lang w:val="en-GB"/>
        </w:rPr>
        <w:t>(Green and Wheeler, 2013)</w:t>
      </w:r>
      <w:r w:rsidR="00854E3F">
        <w:rPr>
          <w:noProof/>
          <w:lang w:val="en-GB"/>
        </w:rPr>
        <w:t xml:space="preserve">. </w:t>
      </w:r>
      <w:r w:rsidR="00A920FF">
        <w:rPr>
          <w:lang w:val="en-GB"/>
        </w:rPr>
        <w:t xml:space="preserve">For all comparisons α was set 0.05. </w:t>
      </w:r>
      <w:r w:rsidRPr="00951F3B">
        <w:rPr>
          <w:lang w:val="en-GB"/>
        </w:rPr>
        <w:t>The 10% and 50% effect concentrations (EC</w:t>
      </w:r>
      <w:r w:rsidRPr="00951F3B">
        <w:rPr>
          <w:vertAlign w:val="subscript"/>
          <w:lang w:val="en-GB"/>
        </w:rPr>
        <w:t>10</w:t>
      </w:r>
      <w:r w:rsidRPr="00951F3B">
        <w:rPr>
          <w:lang w:val="en-GB"/>
        </w:rPr>
        <w:t>, EC</w:t>
      </w:r>
      <w:r w:rsidRPr="00951F3B">
        <w:rPr>
          <w:vertAlign w:val="subscript"/>
          <w:lang w:val="en-GB"/>
        </w:rPr>
        <w:t>50</w:t>
      </w:r>
      <w:r w:rsidRPr="00951F3B">
        <w:rPr>
          <w:lang w:val="en-GB"/>
        </w:rPr>
        <w:t xml:space="preserve">) for reproductive toxicity and </w:t>
      </w:r>
      <w:r w:rsidR="00A920FF">
        <w:rPr>
          <w:lang w:val="en-GB"/>
        </w:rPr>
        <w:t>survival</w:t>
      </w:r>
      <w:r w:rsidR="00A920FF" w:rsidRPr="00951F3B">
        <w:rPr>
          <w:lang w:val="en-GB"/>
        </w:rPr>
        <w:t xml:space="preserve"> </w:t>
      </w:r>
      <w:r w:rsidRPr="00951F3B">
        <w:rPr>
          <w:lang w:val="en-GB"/>
        </w:rPr>
        <w:t>were derived using a LogNorm or Weibull nonlinear regression model</w:t>
      </w:r>
      <w:r w:rsidRPr="000962C6">
        <w:rPr>
          <w:lang w:val="en-GB"/>
        </w:rPr>
        <w:t xml:space="preserve"> </w:t>
      </w:r>
      <w:r w:rsidRPr="00951F3B">
        <w:rPr>
          <w:noProof/>
          <w:lang w:val="en-GB"/>
        </w:rPr>
        <w:t>(Kusk, 2003)</w:t>
      </w:r>
      <w:r w:rsidRPr="00951F3B">
        <w:rPr>
          <w:lang w:val="en-GB"/>
        </w:rPr>
        <w:t xml:space="preserve">. </w:t>
      </w:r>
      <w:r w:rsidR="001F3DEC" w:rsidRPr="001F3DEC">
        <w:rPr>
          <w:lang w:val="en-GB"/>
        </w:rPr>
        <w:t>The best-fitting model was chosen</w:t>
      </w:r>
      <w:r w:rsidR="00D629C7">
        <w:rPr>
          <w:lang w:val="en-GB"/>
        </w:rPr>
        <w:t>, i.e. the lowest r</w:t>
      </w:r>
      <w:r w:rsidR="006466B4" w:rsidRPr="00C2275C">
        <w:rPr>
          <w:vertAlign w:val="superscript"/>
          <w:lang w:val="en-GB"/>
        </w:rPr>
        <w:t>2</w:t>
      </w:r>
      <w:r w:rsidR="00D629C7">
        <w:rPr>
          <w:lang w:val="en-GB"/>
        </w:rPr>
        <w:t>.</w:t>
      </w:r>
      <w:r w:rsidR="002A7BAC" w:rsidRPr="00951F3B">
        <w:rPr>
          <w:lang w:val="en-GB"/>
        </w:rPr>
        <w:t xml:space="preserve"> </w:t>
      </w:r>
    </w:p>
    <w:p w:rsidR="00B63A18" w:rsidRPr="00951F3B" w:rsidRDefault="00B63A18" w:rsidP="00280083">
      <w:pPr>
        <w:spacing w:line="480" w:lineRule="auto"/>
        <w:jc w:val="both"/>
        <w:rPr>
          <w:lang w:val="en-GB"/>
        </w:rPr>
      </w:pPr>
    </w:p>
    <w:p w:rsidR="009951C6" w:rsidRPr="00951F3B" w:rsidRDefault="009951C6" w:rsidP="00280083">
      <w:pPr>
        <w:pStyle w:val="Heading2"/>
        <w:numPr>
          <w:ilvl w:val="0"/>
          <w:numId w:val="38"/>
        </w:numPr>
        <w:spacing w:line="480" w:lineRule="auto"/>
        <w:jc w:val="both"/>
        <w:rPr>
          <w:lang w:val="en-GB"/>
        </w:rPr>
      </w:pPr>
      <w:r w:rsidRPr="00951F3B">
        <w:rPr>
          <w:lang w:val="en-GB"/>
        </w:rPr>
        <w:t>RESULTS</w:t>
      </w:r>
    </w:p>
    <w:p w:rsidR="009951C6" w:rsidRPr="00951F3B" w:rsidRDefault="009951C6" w:rsidP="00280083">
      <w:pPr>
        <w:spacing w:line="480" w:lineRule="auto"/>
        <w:ind w:left="710"/>
        <w:jc w:val="both"/>
        <w:rPr>
          <w:i/>
          <w:lang w:val="en-GB"/>
        </w:rPr>
      </w:pPr>
      <w:r w:rsidRPr="00951F3B">
        <w:rPr>
          <w:i/>
          <w:lang w:val="en-GB"/>
        </w:rPr>
        <w:t>3.1</w:t>
      </w:r>
      <w:r w:rsidRPr="00951F3B">
        <w:rPr>
          <w:i/>
          <w:lang w:val="en-GB"/>
        </w:rPr>
        <w:tab/>
        <w:t>Post shipping mortality</w:t>
      </w:r>
    </w:p>
    <w:p w:rsidR="009951C6" w:rsidRPr="00951F3B" w:rsidRDefault="009951C6" w:rsidP="00280083">
      <w:pPr>
        <w:spacing w:line="480" w:lineRule="auto"/>
        <w:jc w:val="both"/>
        <w:rPr>
          <w:lang w:val="en-GB"/>
        </w:rPr>
      </w:pPr>
      <w:r w:rsidRPr="00951F3B">
        <w:rPr>
          <w:lang w:val="en-GB"/>
        </w:rPr>
        <w:t>No striking post-shipping mortality occurred after sending the snails to the laboratories and during the acclimation phase, except in laboratory 1B. Here, many snails died for unknown reasons. Hence, a second batch of snails was sent to th</w:t>
      </w:r>
      <w:r w:rsidR="00A920FF">
        <w:rPr>
          <w:lang w:val="en-GB"/>
        </w:rPr>
        <w:t>is</w:t>
      </w:r>
      <w:r w:rsidRPr="00951F3B">
        <w:rPr>
          <w:lang w:val="en-GB"/>
        </w:rPr>
        <w:t xml:space="preserve"> laboratory. </w:t>
      </w:r>
      <w:r w:rsidR="00A920FF">
        <w:rPr>
          <w:lang w:val="en-GB"/>
        </w:rPr>
        <w:t xml:space="preserve">Surviving snails from the </w:t>
      </w:r>
      <w:r w:rsidRPr="00951F3B">
        <w:rPr>
          <w:lang w:val="en-GB"/>
        </w:rPr>
        <w:t xml:space="preserve">two batches were </w:t>
      </w:r>
      <w:r w:rsidR="00DD2DF2">
        <w:rPr>
          <w:lang w:val="en-GB"/>
        </w:rPr>
        <w:t xml:space="preserve">combined and </w:t>
      </w:r>
      <w:r w:rsidRPr="00951F3B">
        <w:rPr>
          <w:lang w:val="en-GB"/>
        </w:rPr>
        <w:t xml:space="preserve">used for the test. </w:t>
      </w:r>
    </w:p>
    <w:p w:rsidR="009951C6" w:rsidRPr="00951F3B" w:rsidRDefault="009951C6" w:rsidP="00280083">
      <w:pPr>
        <w:spacing w:line="480" w:lineRule="auto"/>
        <w:jc w:val="both"/>
        <w:rPr>
          <w:i/>
          <w:lang w:val="en-GB"/>
        </w:rPr>
      </w:pPr>
    </w:p>
    <w:p w:rsidR="009951C6" w:rsidRPr="00951F3B" w:rsidRDefault="009951C6" w:rsidP="00280083">
      <w:pPr>
        <w:spacing w:line="480" w:lineRule="auto"/>
        <w:ind w:left="710"/>
        <w:jc w:val="both"/>
        <w:rPr>
          <w:i/>
          <w:lang w:val="en-GB"/>
        </w:rPr>
      </w:pPr>
      <w:r w:rsidRPr="00951F3B">
        <w:rPr>
          <w:i/>
          <w:lang w:val="en-GB"/>
        </w:rPr>
        <w:t>3.2</w:t>
      </w:r>
      <w:r w:rsidRPr="00951F3B">
        <w:rPr>
          <w:i/>
          <w:lang w:val="en-GB"/>
        </w:rPr>
        <w:tab/>
        <w:t>Water quality parameters and compliance with validity criteria</w:t>
      </w:r>
    </w:p>
    <w:p w:rsidR="009951C6" w:rsidRPr="00951F3B" w:rsidRDefault="009951C6" w:rsidP="00280083">
      <w:pPr>
        <w:spacing w:line="480" w:lineRule="auto"/>
        <w:jc w:val="both"/>
        <w:rPr>
          <w:lang w:val="en-GB"/>
        </w:rPr>
      </w:pPr>
      <w:r w:rsidRPr="00951F3B">
        <w:rPr>
          <w:lang w:val="en-GB"/>
        </w:rPr>
        <w:t xml:space="preserve">Table 2 summarises the mean physico-chemical parameters for all participating laboratories of validation I and II. The pH values ranged between 7.95 (2E) and 8.39 (2F) which is in the determined range of 7.5-8.5. Also the measured conductivity and mean </w:t>
      </w:r>
      <w:r w:rsidR="00B61A3A">
        <w:rPr>
          <w:lang w:val="en-GB"/>
        </w:rPr>
        <w:t>oxygen concentrations</w:t>
      </w:r>
      <w:r w:rsidR="00B61A3A" w:rsidRPr="00951F3B">
        <w:rPr>
          <w:lang w:val="en-GB"/>
        </w:rPr>
        <w:t xml:space="preserve"> </w:t>
      </w:r>
      <w:r w:rsidRPr="00951F3B">
        <w:rPr>
          <w:lang w:val="en-GB"/>
        </w:rPr>
        <w:t>were similar among laboratories. All laboratories which conducted the reproduction tests with cadmium (1A-2H) fulfilled the given validity criteria</w:t>
      </w:r>
      <w:r w:rsidR="00E25DFB">
        <w:rPr>
          <w:lang w:val="en-GB"/>
        </w:rPr>
        <w:t xml:space="preserve"> for temperature and oxygen concentrations and recommended pH and conductivity</w:t>
      </w:r>
      <w:r w:rsidRPr="00951F3B">
        <w:rPr>
          <w:lang w:val="en-GB"/>
        </w:rPr>
        <w:t xml:space="preserve">. </w:t>
      </w:r>
    </w:p>
    <w:p w:rsidR="009951C6" w:rsidRPr="00951F3B" w:rsidRDefault="000F66AB" w:rsidP="00280083">
      <w:pPr>
        <w:spacing w:line="480" w:lineRule="auto"/>
        <w:jc w:val="both"/>
        <w:rPr>
          <w:lang w:val="en-GB"/>
        </w:rPr>
      </w:pPr>
      <w:r>
        <w:rPr>
          <w:lang w:val="en-GB"/>
        </w:rPr>
        <w:t>In all laboratories control mortality was between 0% and 2.5%, except for laboratory 2J. Here,</w:t>
      </w:r>
      <w:r w:rsidRPr="00951F3B">
        <w:rPr>
          <w:lang w:val="en-GB"/>
        </w:rPr>
        <w:t xml:space="preserve"> a mean mortality of 30% </w:t>
      </w:r>
      <w:r>
        <w:rPr>
          <w:lang w:val="en-GB"/>
        </w:rPr>
        <w:t xml:space="preserve">was observed </w:t>
      </w:r>
      <w:r w:rsidRPr="00951F3B">
        <w:rPr>
          <w:lang w:val="en-GB"/>
        </w:rPr>
        <w:t xml:space="preserve">in the solvent control. </w:t>
      </w:r>
      <w:r w:rsidR="009951C6" w:rsidRPr="00951F3B">
        <w:rPr>
          <w:lang w:val="en-GB"/>
        </w:rPr>
        <w:t>All laboratories performing the reproduction tests with TBT in validation II achieved the defined temperature scale, except for laboratory 2K. Here, a mean temperature of 19°C was measured</w:t>
      </w:r>
      <w:r w:rsidR="00B61A3A">
        <w:rPr>
          <w:lang w:val="en-GB"/>
        </w:rPr>
        <w:t xml:space="preserve"> instead of 16</w:t>
      </w:r>
      <w:r w:rsidR="00E25DFB">
        <w:rPr>
          <w:lang w:val="en-GB"/>
        </w:rPr>
        <w:t>°C</w:t>
      </w:r>
      <w:r w:rsidR="009951C6" w:rsidRPr="00951F3B">
        <w:rPr>
          <w:lang w:val="en-GB"/>
        </w:rPr>
        <w:t xml:space="preserve">. Therefore, the non-valid test results of laboratories 2J and 2K are not considered in the evaluation of reproduction data but can be found in the </w:t>
      </w:r>
      <w:r w:rsidR="00B03321" w:rsidRPr="00951F3B">
        <w:rPr>
          <w:lang w:val="en-GB"/>
        </w:rPr>
        <w:t>Supporting Information</w:t>
      </w:r>
      <w:r w:rsidR="009951C6" w:rsidRPr="00951F3B">
        <w:rPr>
          <w:lang w:val="en-GB"/>
        </w:rPr>
        <w:t>.</w:t>
      </w:r>
    </w:p>
    <w:p w:rsidR="009951C6" w:rsidRPr="00951F3B" w:rsidRDefault="009951C6" w:rsidP="00280083">
      <w:pPr>
        <w:spacing w:line="480" w:lineRule="auto"/>
        <w:jc w:val="both"/>
        <w:rPr>
          <w:lang w:val="en-GB"/>
        </w:rPr>
      </w:pPr>
    </w:p>
    <w:p w:rsidR="009951C6" w:rsidRPr="00951F3B" w:rsidRDefault="009951C6" w:rsidP="00280083">
      <w:pPr>
        <w:spacing w:line="480" w:lineRule="auto"/>
        <w:jc w:val="both"/>
        <w:rPr>
          <w:sz w:val="20"/>
          <w:szCs w:val="20"/>
          <w:lang w:val="en-GB"/>
        </w:rPr>
      </w:pPr>
      <w:r w:rsidRPr="00951F3B">
        <w:rPr>
          <w:sz w:val="20"/>
          <w:szCs w:val="20"/>
          <w:lang w:val="en-GB"/>
        </w:rPr>
        <w:lastRenderedPageBreak/>
        <w:t>Table 2: Mean of the physico-chemical parameters during the validation studies I and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676"/>
        <w:gridCol w:w="664"/>
        <w:gridCol w:w="662"/>
        <w:gridCol w:w="677"/>
        <w:gridCol w:w="663"/>
        <w:gridCol w:w="662"/>
        <w:gridCol w:w="677"/>
        <w:gridCol w:w="663"/>
        <w:gridCol w:w="662"/>
        <w:gridCol w:w="677"/>
        <w:gridCol w:w="662"/>
        <w:gridCol w:w="661"/>
      </w:tblGrid>
      <w:tr w:rsidR="009951C6" w:rsidRPr="00951F3B" w:rsidTr="00280083">
        <w:tc>
          <w:tcPr>
            <w:tcW w:w="1279" w:type="dxa"/>
            <w:vMerge w:val="restart"/>
            <w:tcBorders>
              <w:top w:val="single" w:sz="4" w:space="0" w:color="000000"/>
              <w:lef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Laboratory</w:t>
            </w:r>
          </w:p>
        </w:tc>
        <w:tc>
          <w:tcPr>
            <w:tcW w:w="2002" w:type="dxa"/>
            <w:gridSpan w:val="3"/>
            <w:tcBorders>
              <w:top w:val="single" w:sz="4" w:space="0" w:color="000000"/>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pH</w:t>
            </w:r>
          </w:p>
        </w:tc>
        <w:tc>
          <w:tcPr>
            <w:tcW w:w="2002" w:type="dxa"/>
            <w:gridSpan w:val="3"/>
            <w:tcBorders>
              <w:top w:val="single" w:sz="4" w:space="0" w:color="000000"/>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hAnsi="Times New Roman"/>
                <w:bCs/>
                <w:color w:val="000000"/>
                <w:sz w:val="18"/>
                <w:lang w:val="en-GB"/>
              </w:rPr>
              <w:t>Conductivity [µS/cm]</w:t>
            </w:r>
          </w:p>
        </w:tc>
        <w:tc>
          <w:tcPr>
            <w:tcW w:w="2002" w:type="dxa"/>
            <w:gridSpan w:val="3"/>
            <w:tcBorders>
              <w:top w:val="single" w:sz="4" w:space="0" w:color="000000"/>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hAnsi="Times New Roman"/>
                <w:bCs/>
                <w:color w:val="000000"/>
                <w:sz w:val="18"/>
                <w:lang w:val="en-GB"/>
              </w:rPr>
              <w:t>Temperature [°C]</w:t>
            </w:r>
          </w:p>
        </w:tc>
        <w:tc>
          <w:tcPr>
            <w:tcW w:w="2000" w:type="dxa"/>
            <w:gridSpan w:val="3"/>
            <w:tcBorders>
              <w:top w:val="single" w:sz="4" w:space="0" w:color="000000"/>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hAnsi="Times New Roman"/>
                <w:bCs/>
                <w:color w:val="000000"/>
                <w:sz w:val="18"/>
                <w:lang w:val="en-GB"/>
              </w:rPr>
              <w:t>O</w:t>
            </w:r>
            <w:r w:rsidRPr="00951F3B">
              <w:rPr>
                <w:rFonts w:ascii="Times New Roman" w:hAnsi="Times New Roman"/>
                <w:bCs/>
                <w:color w:val="000000"/>
                <w:sz w:val="18"/>
                <w:vertAlign w:val="subscript"/>
                <w:lang w:val="en-GB"/>
              </w:rPr>
              <w:t>2</w:t>
            </w:r>
            <w:r w:rsidRPr="00951F3B">
              <w:rPr>
                <w:rFonts w:ascii="Times New Roman" w:hAnsi="Times New Roman"/>
                <w:bCs/>
                <w:color w:val="000000"/>
                <w:sz w:val="18"/>
                <w:lang w:val="en-GB"/>
              </w:rPr>
              <w:t xml:space="preserve"> saturation [%]</w:t>
            </w:r>
          </w:p>
        </w:tc>
      </w:tr>
      <w:tr w:rsidR="009951C6" w:rsidRPr="00951F3B" w:rsidTr="00280083">
        <w:trPr>
          <w:trHeight w:val="381"/>
        </w:trPr>
        <w:tc>
          <w:tcPr>
            <w:tcW w:w="1279" w:type="dxa"/>
            <w:vMerge/>
            <w:tcBorders>
              <w:left w:val="nil"/>
              <w:bottom w:val="single" w:sz="4" w:space="0" w:color="auto"/>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p>
        </w:tc>
        <w:tc>
          <w:tcPr>
            <w:tcW w:w="676" w:type="dxa"/>
            <w:tcBorders>
              <w:top w:val="nil"/>
              <w:bottom w:val="single" w:sz="4" w:space="0" w:color="auto"/>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mean</w:t>
            </w:r>
          </w:p>
        </w:tc>
        <w:tc>
          <w:tcPr>
            <w:tcW w:w="664" w:type="dxa"/>
            <w:tcBorders>
              <w:top w:val="nil"/>
              <w:left w:val="nil"/>
              <w:bottom w:val="single" w:sz="4" w:space="0" w:color="auto"/>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SD</w:t>
            </w:r>
          </w:p>
        </w:tc>
        <w:tc>
          <w:tcPr>
            <w:tcW w:w="662" w:type="dxa"/>
            <w:tcBorders>
              <w:top w:val="nil"/>
              <w:left w:val="nil"/>
              <w:bottom w:val="single" w:sz="4" w:space="0" w:color="000000"/>
            </w:tcBorders>
            <w:shd w:val="clear" w:color="auto" w:fill="auto"/>
            <w:vAlign w:val="center"/>
          </w:tcPr>
          <w:p w:rsidR="009951C6" w:rsidRPr="00951F3B" w:rsidRDefault="00E97F0F"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N</w:t>
            </w:r>
          </w:p>
        </w:tc>
        <w:tc>
          <w:tcPr>
            <w:tcW w:w="677" w:type="dxa"/>
            <w:tcBorders>
              <w:top w:val="nil"/>
              <w:bottom w:val="single" w:sz="4" w:space="0" w:color="000000"/>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mean</w:t>
            </w:r>
          </w:p>
        </w:tc>
        <w:tc>
          <w:tcPr>
            <w:tcW w:w="663" w:type="dxa"/>
            <w:tcBorders>
              <w:top w:val="nil"/>
              <w:left w:val="nil"/>
              <w:bottom w:val="single" w:sz="4" w:space="0" w:color="000000"/>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SD</w:t>
            </w:r>
          </w:p>
        </w:tc>
        <w:tc>
          <w:tcPr>
            <w:tcW w:w="662" w:type="dxa"/>
            <w:tcBorders>
              <w:top w:val="nil"/>
              <w:left w:val="nil"/>
              <w:bottom w:val="single" w:sz="4" w:space="0" w:color="000000"/>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n</w:t>
            </w:r>
          </w:p>
        </w:tc>
        <w:tc>
          <w:tcPr>
            <w:tcW w:w="677" w:type="dxa"/>
            <w:tcBorders>
              <w:top w:val="nil"/>
              <w:bottom w:val="single" w:sz="4" w:space="0" w:color="auto"/>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mean</w:t>
            </w:r>
          </w:p>
        </w:tc>
        <w:tc>
          <w:tcPr>
            <w:tcW w:w="663" w:type="dxa"/>
            <w:tcBorders>
              <w:top w:val="nil"/>
              <w:left w:val="nil"/>
              <w:bottom w:val="single" w:sz="4" w:space="0" w:color="auto"/>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SD</w:t>
            </w:r>
          </w:p>
        </w:tc>
        <w:tc>
          <w:tcPr>
            <w:tcW w:w="662" w:type="dxa"/>
            <w:tcBorders>
              <w:top w:val="nil"/>
              <w:left w:val="nil"/>
              <w:bottom w:val="single" w:sz="4" w:space="0" w:color="000000"/>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n</w:t>
            </w:r>
          </w:p>
        </w:tc>
        <w:tc>
          <w:tcPr>
            <w:tcW w:w="677" w:type="dxa"/>
            <w:tcBorders>
              <w:top w:val="nil"/>
              <w:bottom w:val="single" w:sz="4" w:space="0" w:color="000000"/>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mean</w:t>
            </w:r>
          </w:p>
        </w:tc>
        <w:tc>
          <w:tcPr>
            <w:tcW w:w="662" w:type="dxa"/>
            <w:tcBorders>
              <w:top w:val="nil"/>
              <w:left w:val="nil"/>
              <w:bottom w:val="single" w:sz="4" w:space="0" w:color="000000"/>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SD</w:t>
            </w:r>
          </w:p>
        </w:tc>
        <w:tc>
          <w:tcPr>
            <w:tcW w:w="661" w:type="dxa"/>
            <w:tcBorders>
              <w:top w:val="nil"/>
              <w:left w:val="nil"/>
              <w:bottom w:val="single" w:sz="4" w:space="0" w:color="auto"/>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n</w:t>
            </w:r>
          </w:p>
        </w:tc>
      </w:tr>
      <w:tr w:rsidR="009951C6" w:rsidRPr="00951F3B" w:rsidTr="00280083">
        <w:tc>
          <w:tcPr>
            <w:tcW w:w="1279" w:type="dxa"/>
            <w:tcBorders>
              <w:top w:val="single" w:sz="4" w:space="0" w:color="auto"/>
              <w:left w:val="nil"/>
              <w:bottom w:val="nil"/>
            </w:tcBorders>
            <w:shd w:val="clear" w:color="auto" w:fill="auto"/>
          </w:tcPr>
          <w:p w:rsidR="009951C6" w:rsidRPr="00951F3B" w:rsidRDefault="009951C6" w:rsidP="00280083">
            <w:pPr>
              <w:pStyle w:val="NoSpacing"/>
              <w:spacing w:before="60" w:line="276" w:lineRule="auto"/>
              <w:jc w:val="center"/>
              <w:rPr>
                <w:rFonts w:ascii="Times New Roman" w:eastAsia="Calibri" w:hAnsi="Times New Roman"/>
                <w:sz w:val="18"/>
                <w:szCs w:val="18"/>
                <w:lang w:val="en-GB"/>
              </w:rPr>
            </w:pPr>
            <w:r w:rsidRPr="00951F3B">
              <w:rPr>
                <w:rFonts w:ascii="Times New Roman" w:eastAsia="Calibri" w:hAnsi="Times New Roman"/>
                <w:sz w:val="18"/>
                <w:szCs w:val="18"/>
                <w:lang w:val="en-GB"/>
              </w:rPr>
              <w:t>1A</w:t>
            </w:r>
          </w:p>
        </w:tc>
        <w:tc>
          <w:tcPr>
            <w:tcW w:w="676" w:type="dxa"/>
            <w:tcBorders>
              <w:top w:val="single" w:sz="4" w:space="0" w:color="auto"/>
              <w:bottom w:val="nil"/>
              <w:right w:val="nil"/>
            </w:tcBorders>
            <w:shd w:val="clear" w:color="auto" w:fill="auto"/>
          </w:tcPr>
          <w:p w:rsidR="009951C6" w:rsidRPr="00951F3B" w:rsidRDefault="009951C6" w:rsidP="00280083">
            <w:pPr>
              <w:spacing w:before="60" w:line="276" w:lineRule="auto"/>
              <w:jc w:val="center"/>
              <w:rPr>
                <w:color w:val="000000"/>
                <w:sz w:val="18"/>
                <w:szCs w:val="18"/>
                <w:lang w:val="en-GB" w:eastAsia="de-DE"/>
              </w:rPr>
            </w:pPr>
            <w:r w:rsidRPr="00951F3B">
              <w:rPr>
                <w:color w:val="000000"/>
                <w:sz w:val="18"/>
                <w:szCs w:val="18"/>
                <w:lang w:val="en-GB" w:eastAsia="de-DE"/>
              </w:rPr>
              <w:t>8.15</w:t>
            </w:r>
          </w:p>
        </w:tc>
        <w:tc>
          <w:tcPr>
            <w:tcW w:w="664" w:type="dxa"/>
            <w:tcBorders>
              <w:top w:val="single" w:sz="4" w:space="0" w:color="auto"/>
              <w:left w:val="nil"/>
              <w:bottom w:val="nil"/>
              <w:right w:val="nil"/>
            </w:tcBorders>
            <w:shd w:val="clear" w:color="auto" w:fill="auto"/>
          </w:tcPr>
          <w:p w:rsidR="009951C6" w:rsidRPr="00951F3B" w:rsidRDefault="009951C6" w:rsidP="00280083">
            <w:pPr>
              <w:spacing w:before="60" w:line="276" w:lineRule="auto"/>
              <w:jc w:val="center"/>
              <w:rPr>
                <w:color w:val="000000"/>
                <w:sz w:val="18"/>
                <w:szCs w:val="18"/>
                <w:lang w:val="en-GB" w:eastAsia="de-DE"/>
              </w:rPr>
            </w:pPr>
            <w:r w:rsidRPr="00951F3B">
              <w:rPr>
                <w:color w:val="000000"/>
                <w:sz w:val="18"/>
                <w:szCs w:val="18"/>
                <w:lang w:val="en-GB" w:eastAsia="de-DE"/>
              </w:rPr>
              <w:t>0.196</w:t>
            </w:r>
          </w:p>
        </w:tc>
        <w:tc>
          <w:tcPr>
            <w:tcW w:w="662" w:type="dxa"/>
            <w:tcBorders>
              <w:top w:val="single" w:sz="4" w:space="0" w:color="auto"/>
              <w:left w:val="nil"/>
              <w:bottom w:val="nil"/>
            </w:tcBorders>
            <w:shd w:val="clear" w:color="auto" w:fill="auto"/>
          </w:tcPr>
          <w:p w:rsidR="009951C6" w:rsidRPr="00951F3B" w:rsidRDefault="009951C6" w:rsidP="00280083">
            <w:pPr>
              <w:spacing w:before="60" w:line="276" w:lineRule="auto"/>
              <w:jc w:val="center"/>
              <w:rPr>
                <w:color w:val="000000"/>
                <w:sz w:val="18"/>
                <w:szCs w:val="18"/>
                <w:lang w:val="en-GB" w:eastAsia="de-DE"/>
              </w:rPr>
            </w:pPr>
            <w:r w:rsidRPr="00951F3B">
              <w:rPr>
                <w:color w:val="000000"/>
                <w:sz w:val="18"/>
                <w:szCs w:val="18"/>
                <w:lang w:val="en-GB" w:eastAsia="de-DE"/>
              </w:rPr>
              <w:t>120</w:t>
            </w:r>
          </w:p>
        </w:tc>
        <w:tc>
          <w:tcPr>
            <w:tcW w:w="677" w:type="dxa"/>
            <w:tcBorders>
              <w:top w:val="nil"/>
              <w:bottom w:val="nil"/>
              <w:right w:val="nil"/>
            </w:tcBorders>
            <w:shd w:val="clear" w:color="auto" w:fill="auto"/>
          </w:tcPr>
          <w:p w:rsidR="009951C6" w:rsidRPr="00951F3B" w:rsidRDefault="009951C6" w:rsidP="00280083">
            <w:pPr>
              <w:spacing w:before="60" w:line="276" w:lineRule="auto"/>
              <w:jc w:val="center"/>
              <w:rPr>
                <w:color w:val="000000"/>
                <w:sz w:val="18"/>
                <w:szCs w:val="18"/>
                <w:lang w:val="en-GB" w:eastAsia="de-DE"/>
              </w:rPr>
            </w:pPr>
            <w:r w:rsidRPr="00951F3B">
              <w:rPr>
                <w:color w:val="000000"/>
                <w:sz w:val="18"/>
                <w:szCs w:val="18"/>
                <w:lang w:val="en-GB" w:eastAsia="de-DE"/>
              </w:rPr>
              <w:t>840</w:t>
            </w:r>
          </w:p>
        </w:tc>
        <w:tc>
          <w:tcPr>
            <w:tcW w:w="663" w:type="dxa"/>
            <w:tcBorders>
              <w:top w:val="nil"/>
              <w:left w:val="nil"/>
              <w:bottom w:val="nil"/>
              <w:right w:val="nil"/>
            </w:tcBorders>
            <w:shd w:val="clear" w:color="auto" w:fill="auto"/>
          </w:tcPr>
          <w:p w:rsidR="009951C6" w:rsidRPr="00951F3B" w:rsidRDefault="009951C6" w:rsidP="00280083">
            <w:pPr>
              <w:spacing w:before="60" w:line="276" w:lineRule="auto"/>
              <w:jc w:val="center"/>
              <w:rPr>
                <w:color w:val="000000"/>
                <w:sz w:val="18"/>
                <w:szCs w:val="18"/>
                <w:lang w:val="en-GB" w:eastAsia="de-DE"/>
              </w:rPr>
            </w:pPr>
            <w:r w:rsidRPr="00951F3B">
              <w:rPr>
                <w:color w:val="000000"/>
                <w:sz w:val="18"/>
                <w:szCs w:val="18"/>
                <w:lang w:val="en-GB" w:eastAsia="de-DE"/>
              </w:rPr>
              <w:t>16.0</w:t>
            </w:r>
          </w:p>
        </w:tc>
        <w:tc>
          <w:tcPr>
            <w:tcW w:w="662" w:type="dxa"/>
            <w:tcBorders>
              <w:top w:val="single" w:sz="4" w:space="0" w:color="auto"/>
              <w:left w:val="nil"/>
              <w:bottom w:val="nil"/>
            </w:tcBorders>
            <w:shd w:val="clear" w:color="auto" w:fill="auto"/>
          </w:tcPr>
          <w:p w:rsidR="009951C6" w:rsidRPr="00951F3B" w:rsidRDefault="009951C6" w:rsidP="00280083">
            <w:pPr>
              <w:spacing w:before="60" w:line="276" w:lineRule="auto"/>
              <w:jc w:val="center"/>
              <w:rPr>
                <w:color w:val="000000"/>
                <w:sz w:val="18"/>
                <w:szCs w:val="18"/>
                <w:lang w:val="en-GB" w:eastAsia="de-DE"/>
              </w:rPr>
            </w:pPr>
            <w:r w:rsidRPr="00951F3B">
              <w:rPr>
                <w:color w:val="000000"/>
                <w:sz w:val="18"/>
                <w:szCs w:val="18"/>
                <w:lang w:val="en-GB" w:eastAsia="de-DE"/>
              </w:rPr>
              <w:t>120</w:t>
            </w:r>
          </w:p>
        </w:tc>
        <w:tc>
          <w:tcPr>
            <w:tcW w:w="677" w:type="dxa"/>
            <w:tcBorders>
              <w:top w:val="single" w:sz="4" w:space="0" w:color="auto"/>
              <w:bottom w:val="nil"/>
              <w:right w:val="nil"/>
            </w:tcBorders>
            <w:shd w:val="clear" w:color="auto" w:fill="auto"/>
          </w:tcPr>
          <w:p w:rsidR="009951C6" w:rsidRPr="00951F3B" w:rsidRDefault="009951C6" w:rsidP="00280083">
            <w:pPr>
              <w:spacing w:before="60" w:line="276" w:lineRule="auto"/>
              <w:jc w:val="center"/>
              <w:rPr>
                <w:color w:val="000000"/>
                <w:sz w:val="18"/>
                <w:szCs w:val="18"/>
                <w:lang w:val="en-GB" w:eastAsia="de-DE"/>
              </w:rPr>
            </w:pPr>
            <w:r w:rsidRPr="00951F3B">
              <w:rPr>
                <w:color w:val="000000"/>
                <w:sz w:val="18"/>
                <w:szCs w:val="18"/>
                <w:lang w:val="en-GB" w:eastAsia="de-DE"/>
              </w:rPr>
              <w:t>15.3</w:t>
            </w:r>
          </w:p>
        </w:tc>
        <w:tc>
          <w:tcPr>
            <w:tcW w:w="663" w:type="dxa"/>
            <w:tcBorders>
              <w:top w:val="single" w:sz="4" w:space="0" w:color="auto"/>
              <w:left w:val="nil"/>
              <w:bottom w:val="nil"/>
              <w:right w:val="nil"/>
            </w:tcBorders>
            <w:shd w:val="clear" w:color="auto" w:fill="auto"/>
          </w:tcPr>
          <w:p w:rsidR="009951C6" w:rsidRPr="00951F3B" w:rsidRDefault="009951C6" w:rsidP="00280083">
            <w:pPr>
              <w:spacing w:before="60" w:line="276" w:lineRule="auto"/>
              <w:jc w:val="center"/>
              <w:rPr>
                <w:color w:val="000000"/>
                <w:sz w:val="18"/>
                <w:szCs w:val="18"/>
                <w:lang w:val="en-GB" w:eastAsia="de-DE"/>
              </w:rPr>
            </w:pPr>
            <w:r w:rsidRPr="00951F3B">
              <w:rPr>
                <w:color w:val="000000"/>
                <w:sz w:val="18"/>
                <w:szCs w:val="18"/>
                <w:lang w:val="en-GB" w:eastAsia="de-DE"/>
              </w:rPr>
              <w:t>0.362</w:t>
            </w:r>
          </w:p>
        </w:tc>
        <w:tc>
          <w:tcPr>
            <w:tcW w:w="662" w:type="dxa"/>
            <w:tcBorders>
              <w:top w:val="single" w:sz="4" w:space="0" w:color="auto"/>
              <w:left w:val="nil"/>
              <w:bottom w:val="nil"/>
            </w:tcBorders>
            <w:shd w:val="clear" w:color="auto" w:fill="auto"/>
          </w:tcPr>
          <w:p w:rsidR="009951C6" w:rsidRPr="00951F3B" w:rsidRDefault="009951C6" w:rsidP="00280083">
            <w:pPr>
              <w:spacing w:before="60" w:line="276" w:lineRule="auto"/>
              <w:jc w:val="center"/>
              <w:rPr>
                <w:color w:val="000000"/>
                <w:sz w:val="18"/>
                <w:szCs w:val="18"/>
                <w:lang w:val="en-GB" w:eastAsia="de-DE"/>
              </w:rPr>
            </w:pPr>
            <w:r w:rsidRPr="00951F3B">
              <w:rPr>
                <w:color w:val="000000"/>
                <w:sz w:val="18"/>
                <w:szCs w:val="18"/>
                <w:lang w:val="en-GB" w:eastAsia="de-DE"/>
              </w:rPr>
              <w:t>120</w:t>
            </w:r>
          </w:p>
        </w:tc>
        <w:tc>
          <w:tcPr>
            <w:tcW w:w="677" w:type="dxa"/>
            <w:tcBorders>
              <w:top w:val="nil"/>
              <w:bottom w:val="nil"/>
              <w:right w:val="nil"/>
            </w:tcBorders>
            <w:shd w:val="clear" w:color="auto" w:fill="auto"/>
          </w:tcPr>
          <w:p w:rsidR="009951C6" w:rsidRPr="00951F3B" w:rsidRDefault="009951C6" w:rsidP="00280083">
            <w:pPr>
              <w:spacing w:before="60" w:line="276" w:lineRule="auto"/>
              <w:jc w:val="center"/>
              <w:rPr>
                <w:color w:val="000000"/>
                <w:sz w:val="18"/>
                <w:szCs w:val="18"/>
                <w:lang w:val="en-GB" w:eastAsia="de-DE"/>
              </w:rPr>
            </w:pPr>
            <w:r w:rsidRPr="00951F3B">
              <w:rPr>
                <w:color w:val="000000"/>
                <w:sz w:val="18"/>
                <w:szCs w:val="18"/>
                <w:lang w:val="en-GB" w:eastAsia="de-DE"/>
              </w:rPr>
              <w:t>94.3</w:t>
            </w:r>
          </w:p>
        </w:tc>
        <w:tc>
          <w:tcPr>
            <w:tcW w:w="662" w:type="dxa"/>
            <w:tcBorders>
              <w:top w:val="nil"/>
              <w:left w:val="nil"/>
              <w:bottom w:val="nil"/>
              <w:right w:val="nil"/>
            </w:tcBorders>
            <w:shd w:val="clear" w:color="auto" w:fill="auto"/>
          </w:tcPr>
          <w:p w:rsidR="009951C6" w:rsidRPr="00951F3B" w:rsidRDefault="009951C6" w:rsidP="00280083">
            <w:pPr>
              <w:spacing w:before="60" w:line="276" w:lineRule="auto"/>
              <w:jc w:val="center"/>
              <w:rPr>
                <w:color w:val="000000"/>
                <w:sz w:val="18"/>
                <w:szCs w:val="18"/>
                <w:lang w:val="en-GB" w:eastAsia="de-DE"/>
              </w:rPr>
            </w:pPr>
            <w:r w:rsidRPr="00951F3B">
              <w:rPr>
                <w:color w:val="000000"/>
                <w:sz w:val="18"/>
                <w:szCs w:val="18"/>
                <w:lang w:val="en-GB" w:eastAsia="de-DE"/>
              </w:rPr>
              <w:t>1.75</w:t>
            </w:r>
          </w:p>
        </w:tc>
        <w:tc>
          <w:tcPr>
            <w:tcW w:w="661" w:type="dxa"/>
            <w:tcBorders>
              <w:top w:val="single" w:sz="4" w:space="0" w:color="auto"/>
              <w:left w:val="nil"/>
              <w:bottom w:val="nil"/>
              <w:right w:val="nil"/>
            </w:tcBorders>
            <w:shd w:val="clear" w:color="auto" w:fill="auto"/>
          </w:tcPr>
          <w:p w:rsidR="009951C6" w:rsidRPr="00951F3B" w:rsidRDefault="009951C6" w:rsidP="00280083">
            <w:pPr>
              <w:spacing w:before="60" w:line="276" w:lineRule="auto"/>
              <w:jc w:val="center"/>
              <w:rPr>
                <w:color w:val="000000"/>
                <w:sz w:val="18"/>
                <w:szCs w:val="18"/>
                <w:lang w:val="en-GB" w:eastAsia="de-DE"/>
              </w:rPr>
            </w:pPr>
            <w:r w:rsidRPr="00951F3B">
              <w:rPr>
                <w:color w:val="000000"/>
                <w:sz w:val="18"/>
                <w:szCs w:val="18"/>
                <w:lang w:val="en-GB" w:eastAsia="de-DE"/>
              </w:rPr>
              <w:t>120</w:t>
            </w:r>
          </w:p>
        </w:tc>
      </w:tr>
      <w:tr w:rsidR="009951C6" w:rsidRPr="00951F3B" w:rsidTr="00280083">
        <w:tc>
          <w:tcPr>
            <w:tcW w:w="1279"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18"/>
                <w:lang w:val="en-GB"/>
              </w:rPr>
            </w:pPr>
            <w:r w:rsidRPr="00951F3B">
              <w:rPr>
                <w:rFonts w:ascii="Times New Roman" w:eastAsia="Calibri" w:hAnsi="Times New Roman"/>
                <w:sz w:val="18"/>
                <w:szCs w:val="18"/>
                <w:lang w:val="en-GB"/>
              </w:rPr>
              <w:t>1B</w:t>
            </w:r>
          </w:p>
        </w:tc>
        <w:tc>
          <w:tcPr>
            <w:tcW w:w="676" w:type="dxa"/>
            <w:tcBorders>
              <w:top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8.32</w:t>
            </w:r>
          </w:p>
        </w:tc>
        <w:tc>
          <w:tcPr>
            <w:tcW w:w="664" w:type="dxa"/>
            <w:tcBorders>
              <w:top w:val="nil"/>
              <w:left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0.136</w:t>
            </w:r>
          </w:p>
        </w:tc>
        <w:tc>
          <w:tcPr>
            <w:tcW w:w="662" w:type="dxa"/>
            <w:tcBorders>
              <w:top w:val="nil"/>
              <w:left w:val="nil"/>
              <w:bottom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140</w:t>
            </w:r>
          </w:p>
        </w:tc>
        <w:tc>
          <w:tcPr>
            <w:tcW w:w="677" w:type="dxa"/>
            <w:tcBorders>
              <w:top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742</w:t>
            </w:r>
          </w:p>
        </w:tc>
        <w:tc>
          <w:tcPr>
            <w:tcW w:w="663" w:type="dxa"/>
            <w:tcBorders>
              <w:top w:val="nil"/>
              <w:left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28.8</w:t>
            </w:r>
          </w:p>
        </w:tc>
        <w:tc>
          <w:tcPr>
            <w:tcW w:w="662" w:type="dxa"/>
            <w:tcBorders>
              <w:top w:val="nil"/>
              <w:left w:val="nil"/>
              <w:bottom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140</w:t>
            </w:r>
          </w:p>
        </w:tc>
        <w:tc>
          <w:tcPr>
            <w:tcW w:w="677" w:type="dxa"/>
            <w:tcBorders>
              <w:top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17.4</w:t>
            </w:r>
          </w:p>
        </w:tc>
        <w:tc>
          <w:tcPr>
            <w:tcW w:w="663" w:type="dxa"/>
            <w:tcBorders>
              <w:top w:val="nil"/>
              <w:left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0.300</w:t>
            </w:r>
          </w:p>
        </w:tc>
        <w:tc>
          <w:tcPr>
            <w:tcW w:w="662" w:type="dxa"/>
            <w:tcBorders>
              <w:top w:val="nil"/>
              <w:left w:val="nil"/>
              <w:bottom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140</w:t>
            </w:r>
          </w:p>
        </w:tc>
        <w:tc>
          <w:tcPr>
            <w:tcW w:w="677" w:type="dxa"/>
            <w:tcBorders>
              <w:top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96.8</w:t>
            </w:r>
          </w:p>
        </w:tc>
        <w:tc>
          <w:tcPr>
            <w:tcW w:w="662" w:type="dxa"/>
            <w:tcBorders>
              <w:top w:val="nil"/>
              <w:left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2.80</w:t>
            </w:r>
          </w:p>
        </w:tc>
        <w:tc>
          <w:tcPr>
            <w:tcW w:w="661" w:type="dxa"/>
            <w:tcBorders>
              <w:top w:val="nil"/>
              <w:left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140</w:t>
            </w:r>
          </w:p>
        </w:tc>
      </w:tr>
      <w:tr w:rsidR="009951C6" w:rsidRPr="00951F3B" w:rsidTr="00280083">
        <w:tc>
          <w:tcPr>
            <w:tcW w:w="1279"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18"/>
                <w:lang w:val="en-GB"/>
              </w:rPr>
            </w:pPr>
            <w:r w:rsidRPr="00951F3B">
              <w:rPr>
                <w:rFonts w:ascii="Times New Roman" w:eastAsia="Calibri" w:hAnsi="Times New Roman"/>
                <w:sz w:val="18"/>
                <w:szCs w:val="18"/>
                <w:lang w:val="en-GB"/>
              </w:rPr>
              <w:t>1C</w:t>
            </w:r>
          </w:p>
        </w:tc>
        <w:tc>
          <w:tcPr>
            <w:tcW w:w="676" w:type="dxa"/>
            <w:tcBorders>
              <w:top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8.11</w:t>
            </w:r>
          </w:p>
        </w:tc>
        <w:tc>
          <w:tcPr>
            <w:tcW w:w="664" w:type="dxa"/>
            <w:tcBorders>
              <w:top w:val="nil"/>
              <w:left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0.090</w:t>
            </w:r>
          </w:p>
        </w:tc>
        <w:tc>
          <w:tcPr>
            <w:tcW w:w="662" w:type="dxa"/>
            <w:tcBorders>
              <w:top w:val="nil"/>
              <w:left w:val="nil"/>
              <w:bottom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120</w:t>
            </w:r>
          </w:p>
        </w:tc>
        <w:tc>
          <w:tcPr>
            <w:tcW w:w="677" w:type="dxa"/>
            <w:tcBorders>
              <w:top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718</w:t>
            </w:r>
          </w:p>
        </w:tc>
        <w:tc>
          <w:tcPr>
            <w:tcW w:w="663" w:type="dxa"/>
            <w:tcBorders>
              <w:top w:val="nil"/>
              <w:left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23.8</w:t>
            </w:r>
          </w:p>
        </w:tc>
        <w:tc>
          <w:tcPr>
            <w:tcW w:w="662" w:type="dxa"/>
            <w:tcBorders>
              <w:top w:val="nil"/>
              <w:left w:val="nil"/>
              <w:bottom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120</w:t>
            </w:r>
          </w:p>
        </w:tc>
        <w:tc>
          <w:tcPr>
            <w:tcW w:w="677" w:type="dxa"/>
            <w:tcBorders>
              <w:top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16.0</w:t>
            </w:r>
          </w:p>
        </w:tc>
        <w:tc>
          <w:tcPr>
            <w:tcW w:w="663" w:type="dxa"/>
            <w:tcBorders>
              <w:top w:val="nil"/>
              <w:left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0.597</w:t>
            </w:r>
          </w:p>
        </w:tc>
        <w:tc>
          <w:tcPr>
            <w:tcW w:w="662" w:type="dxa"/>
            <w:tcBorders>
              <w:top w:val="nil"/>
              <w:left w:val="nil"/>
              <w:bottom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120</w:t>
            </w:r>
          </w:p>
        </w:tc>
        <w:tc>
          <w:tcPr>
            <w:tcW w:w="677" w:type="dxa"/>
            <w:tcBorders>
              <w:top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98.5</w:t>
            </w:r>
          </w:p>
        </w:tc>
        <w:tc>
          <w:tcPr>
            <w:tcW w:w="662" w:type="dxa"/>
            <w:tcBorders>
              <w:top w:val="nil"/>
              <w:left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4.50</w:t>
            </w:r>
          </w:p>
        </w:tc>
        <w:tc>
          <w:tcPr>
            <w:tcW w:w="661" w:type="dxa"/>
            <w:tcBorders>
              <w:top w:val="nil"/>
              <w:left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120</w:t>
            </w:r>
          </w:p>
        </w:tc>
      </w:tr>
      <w:tr w:rsidR="009951C6" w:rsidRPr="00951F3B" w:rsidTr="00280083">
        <w:tc>
          <w:tcPr>
            <w:tcW w:w="1279"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18"/>
                <w:lang w:val="en-GB"/>
              </w:rPr>
            </w:pPr>
            <w:r w:rsidRPr="00951F3B">
              <w:rPr>
                <w:rFonts w:ascii="Times New Roman" w:eastAsia="Calibri" w:hAnsi="Times New Roman"/>
                <w:sz w:val="18"/>
                <w:szCs w:val="18"/>
                <w:lang w:val="en-GB"/>
              </w:rPr>
              <w:t>1D</w:t>
            </w:r>
          </w:p>
        </w:tc>
        <w:tc>
          <w:tcPr>
            <w:tcW w:w="676" w:type="dxa"/>
            <w:tcBorders>
              <w:top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8.28</w:t>
            </w:r>
          </w:p>
        </w:tc>
        <w:tc>
          <w:tcPr>
            <w:tcW w:w="664" w:type="dxa"/>
            <w:tcBorders>
              <w:top w:val="nil"/>
              <w:left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0.457</w:t>
            </w:r>
          </w:p>
        </w:tc>
        <w:tc>
          <w:tcPr>
            <w:tcW w:w="662" w:type="dxa"/>
            <w:tcBorders>
              <w:top w:val="nil"/>
              <w:left w:val="nil"/>
              <w:bottom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197</w:t>
            </w:r>
          </w:p>
        </w:tc>
        <w:tc>
          <w:tcPr>
            <w:tcW w:w="677" w:type="dxa"/>
            <w:tcBorders>
              <w:top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737</w:t>
            </w:r>
          </w:p>
        </w:tc>
        <w:tc>
          <w:tcPr>
            <w:tcW w:w="663" w:type="dxa"/>
            <w:tcBorders>
              <w:top w:val="nil"/>
              <w:left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53.0</w:t>
            </w:r>
          </w:p>
        </w:tc>
        <w:tc>
          <w:tcPr>
            <w:tcW w:w="662" w:type="dxa"/>
            <w:tcBorders>
              <w:top w:val="nil"/>
              <w:left w:val="nil"/>
              <w:bottom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197</w:t>
            </w:r>
          </w:p>
        </w:tc>
        <w:tc>
          <w:tcPr>
            <w:tcW w:w="677" w:type="dxa"/>
            <w:tcBorders>
              <w:top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14.9</w:t>
            </w:r>
          </w:p>
        </w:tc>
        <w:tc>
          <w:tcPr>
            <w:tcW w:w="663" w:type="dxa"/>
            <w:tcBorders>
              <w:top w:val="nil"/>
              <w:left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0.467</w:t>
            </w:r>
          </w:p>
        </w:tc>
        <w:tc>
          <w:tcPr>
            <w:tcW w:w="662" w:type="dxa"/>
            <w:tcBorders>
              <w:top w:val="nil"/>
              <w:left w:val="nil"/>
              <w:bottom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197</w:t>
            </w:r>
          </w:p>
        </w:tc>
        <w:tc>
          <w:tcPr>
            <w:tcW w:w="677" w:type="dxa"/>
            <w:tcBorders>
              <w:top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99.6</w:t>
            </w:r>
          </w:p>
        </w:tc>
        <w:tc>
          <w:tcPr>
            <w:tcW w:w="662" w:type="dxa"/>
            <w:tcBorders>
              <w:top w:val="nil"/>
              <w:left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2.28</w:t>
            </w:r>
          </w:p>
        </w:tc>
        <w:tc>
          <w:tcPr>
            <w:tcW w:w="661" w:type="dxa"/>
            <w:tcBorders>
              <w:top w:val="nil"/>
              <w:left w:val="nil"/>
              <w:bottom w:val="nil"/>
              <w:right w:val="nil"/>
            </w:tcBorders>
            <w:shd w:val="clear" w:color="auto" w:fill="auto"/>
          </w:tcPr>
          <w:p w:rsidR="009951C6" w:rsidRPr="00951F3B" w:rsidRDefault="009951C6" w:rsidP="00280083">
            <w:pPr>
              <w:spacing w:line="276" w:lineRule="auto"/>
              <w:jc w:val="center"/>
              <w:rPr>
                <w:color w:val="000000"/>
                <w:sz w:val="18"/>
                <w:szCs w:val="18"/>
                <w:lang w:val="en-GB" w:eastAsia="de-DE"/>
              </w:rPr>
            </w:pPr>
            <w:r w:rsidRPr="00951F3B">
              <w:rPr>
                <w:color w:val="000000"/>
                <w:sz w:val="18"/>
                <w:szCs w:val="18"/>
                <w:lang w:val="en-GB" w:eastAsia="de-DE"/>
              </w:rPr>
              <w:t>197</w:t>
            </w:r>
          </w:p>
        </w:tc>
      </w:tr>
      <w:tr w:rsidR="009951C6" w:rsidRPr="00951F3B" w:rsidTr="00280083">
        <w:tc>
          <w:tcPr>
            <w:tcW w:w="1279" w:type="dxa"/>
            <w:tcBorders>
              <w:top w:val="nil"/>
              <w:left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2Aa</w:t>
            </w:r>
          </w:p>
        </w:tc>
        <w:tc>
          <w:tcPr>
            <w:tcW w:w="676" w:type="dxa"/>
            <w:tcBorders>
              <w:top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8.26</w:t>
            </w:r>
          </w:p>
        </w:tc>
        <w:tc>
          <w:tcPr>
            <w:tcW w:w="664" w:type="dxa"/>
            <w:tcBorders>
              <w:top w:val="nil"/>
              <w:left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0.700</w:t>
            </w:r>
          </w:p>
        </w:tc>
        <w:tc>
          <w:tcPr>
            <w:tcW w:w="662" w:type="dxa"/>
            <w:tcBorders>
              <w:top w:val="nil"/>
              <w:left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144</w:t>
            </w:r>
          </w:p>
        </w:tc>
        <w:tc>
          <w:tcPr>
            <w:tcW w:w="677" w:type="dxa"/>
            <w:tcBorders>
              <w:top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811</w:t>
            </w:r>
          </w:p>
        </w:tc>
        <w:tc>
          <w:tcPr>
            <w:tcW w:w="663" w:type="dxa"/>
            <w:tcBorders>
              <w:top w:val="nil"/>
              <w:left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58.8</w:t>
            </w:r>
          </w:p>
        </w:tc>
        <w:tc>
          <w:tcPr>
            <w:tcW w:w="662" w:type="dxa"/>
            <w:tcBorders>
              <w:top w:val="nil"/>
              <w:left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144</w:t>
            </w:r>
          </w:p>
        </w:tc>
        <w:tc>
          <w:tcPr>
            <w:tcW w:w="677" w:type="dxa"/>
            <w:tcBorders>
              <w:top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15.4</w:t>
            </w:r>
          </w:p>
        </w:tc>
        <w:tc>
          <w:tcPr>
            <w:tcW w:w="663" w:type="dxa"/>
            <w:tcBorders>
              <w:top w:val="nil"/>
              <w:left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0.386</w:t>
            </w:r>
          </w:p>
        </w:tc>
        <w:tc>
          <w:tcPr>
            <w:tcW w:w="662" w:type="dxa"/>
            <w:tcBorders>
              <w:top w:val="nil"/>
              <w:left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144</w:t>
            </w:r>
          </w:p>
        </w:tc>
        <w:tc>
          <w:tcPr>
            <w:tcW w:w="677" w:type="dxa"/>
            <w:tcBorders>
              <w:top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95.0</w:t>
            </w:r>
          </w:p>
        </w:tc>
        <w:tc>
          <w:tcPr>
            <w:tcW w:w="662" w:type="dxa"/>
            <w:tcBorders>
              <w:top w:val="nil"/>
              <w:left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5.99</w:t>
            </w:r>
          </w:p>
        </w:tc>
        <w:tc>
          <w:tcPr>
            <w:tcW w:w="661" w:type="dxa"/>
            <w:tcBorders>
              <w:top w:val="nil"/>
              <w:left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144</w:t>
            </w:r>
          </w:p>
        </w:tc>
      </w:tr>
      <w:tr w:rsidR="009951C6" w:rsidRPr="00951F3B" w:rsidTr="00280083">
        <w:tc>
          <w:tcPr>
            <w:tcW w:w="1279" w:type="dxa"/>
            <w:tcBorders>
              <w:top w:val="nil"/>
              <w:left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2Ab</w:t>
            </w:r>
          </w:p>
        </w:tc>
        <w:tc>
          <w:tcPr>
            <w:tcW w:w="676" w:type="dxa"/>
            <w:tcBorders>
              <w:top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8.13</w:t>
            </w:r>
          </w:p>
        </w:tc>
        <w:tc>
          <w:tcPr>
            <w:tcW w:w="664" w:type="dxa"/>
            <w:tcBorders>
              <w:top w:val="nil"/>
              <w:left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0.900</w:t>
            </w:r>
          </w:p>
        </w:tc>
        <w:tc>
          <w:tcPr>
            <w:tcW w:w="662" w:type="dxa"/>
            <w:tcBorders>
              <w:top w:val="nil"/>
              <w:left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84</w:t>
            </w:r>
          </w:p>
        </w:tc>
        <w:tc>
          <w:tcPr>
            <w:tcW w:w="677" w:type="dxa"/>
            <w:tcBorders>
              <w:top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788</w:t>
            </w:r>
          </w:p>
        </w:tc>
        <w:tc>
          <w:tcPr>
            <w:tcW w:w="663" w:type="dxa"/>
            <w:tcBorders>
              <w:top w:val="nil"/>
              <w:left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31.3</w:t>
            </w:r>
          </w:p>
        </w:tc>
        <w:tc>
          <w:tcPr>
            <w:tcW w:w="662" w:type="dxa"/>
            <w:tcBorders>
              <w:top w:val="nil"/>
              <w:left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84</w:t>
            </w:r>
          </w:p>
        </w:tc>
        <w:tc>
          <w:tcPr>
            <w:tcW w:w="677" w:type="dxa"/>
            <w:tcBorders>
              <w:top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16.7</w:t>
            </w:r>
          </w:p>
        </w:tc>
        <w:tc>
          <w:tcPr>
            <w:tcW w:w="663" w:type="dxa"/>
            <w:tcBorders>
              <w:top w:val="nil"/>
              <w:left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0.311</w:t>
            </w:r>
          </w:p>
        </w:tc>
        <w:tc>
          <w:tcPr>
            <w:tcW w:w="662" w:type="dxa"/>
            <w:tcBorders>
              <w:top w:val="nil"/>
              <w:left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84</w:t>
            </w:r>
          </w:p>
        </w:tc>
        <w:tc>
          <w:tcPr>
            <w:tcW w:w="677" w:type="dxa"/>
            <w:tcBorders>
              <w:top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93.8</w:t>
            </w:r>
          </w:p>
        </w:tc>
        <w:tc>
          <w:tcPr>
            <w:tcW w:w="662" w:type="dxa"/>
            <w:tcBorders>
              <w:top w:val="nil"/>
              <w:left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7.01</w:t>
            </w:r>
          </w:p>
        </w:tc>
        <w:tc>
          <w:tcPr>
            <w:tcW w:w="661" w:type="dxa"/>
            <w:tcBorders>
              <w:top w:val="nil"/>
              <w:left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84</w:t>
            </w:r>
          </w:p>
        </w:tc>
      </w:tr>
      <w:tr w:rsidR="009951C6" w:rsidRPr="00951F3B" w:rsidTr="00280083">
        <w:tc>
          <w:tcPr>
            <w:tcW w:w="1279" w:type="dxa"/>
            <w:tcBorders>
              <w:top w:val="nil"/>
              <w:left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2E</w:t>
            </w:r>
          </w:p>
        </w:tc>
        <w:tc>
          <w:tcPr>
            <w:tcW w:w="676" w:type="dxa"/>
            <w:tcBorders>
              <w:top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7.95</w:t>
            </w:r>
          </w:p>
        </w:tc>
        <w:tc>
          <w:tcPr>
            <w:tcW w:w="664" w:type="dxa"/>
            <w:tcBorders>
              <w:top w:val="nil"/>
              <w:left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0.707</w:t>
            </w:r>
          </w:p>
        </w:tc>
        <w:tc>
          <w:tcPr>
            <w:tcW w:w="662" w:type="dxa"/>
            <w:tcBorders>
              <w:top w:val="nil"/>
              <w:left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144</w:t>
            </w:r>
          </w:p>
        </w:tc>
        <w:tc>
          <w:tcPr>
            <w:tcW w:w="677" w:type="dxa"/>
            <w:tcBorders>
              <w:top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774</w:t>
            </w:r>
          </w:p>
        </w:tc>
        <w:tc>
          <w:tcPr>
            <w:tcW w:w="663" w:type="dxa"/>
            <w:tcBorders>
              <w:top w:val="nil"/>
              <w:left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22.5</w:t>
            </w:r>
          </w:p>
        </w:tc>
        <w:tc>
          <w:tcPr>
            <w:tcW w:w="662" w:type="dxa"/>
            <w:tcBorders>
              <w:top w:val="nil"/>
              <w:left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24</w:t>
            </w:r>
          </w:p>
        </w:tc>
        <w:tc>
          <w:tcPr>
            <w:tcW w:w="677" w:type="dxa"/>
            <w:tcBorders>
              <w:top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15.4</w:t>
            </w:r>
          </w:p>
        </w:tc>
        <w:tc>
          <w:tcPr>
            <w:tcW w:w="663" w:type="dxa"/>
            <w:tcBorders>
              <w:top w:val="nil"/>
              <w:left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0.344</w:t>
            </w:r>
          </w:p>
        </w:tc>
        <w:tc>
          <w:tcPr>
            <w:tcW w:w="662" w:type="dxa"/>
            <w:tcBorders>
              <w:top w:val="nil"/>
              <w:left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24</w:t>
            </w:r>
          </w:p>
        </w:tc>
        <w:tc>
          <w:tcPr>
            <w:tcW w:w="677" w:type="dxa"/>
            <w:tcBorders>
              <w:top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101</w:t>
            </w:r>
          </w:p>
        </w:tc>
        <w:tc>
          <w:tcPr>
            <w:tcW w:w="662" w:type="dxa"/>
            <w:tcBorders>
              <w:top w:val="nil"/>
              <w:left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1.26</w:t>
            </w:r>
          </w:p>
        </w:tc>
        <w:tc>
          <w:tcPr>
            <w:tcW w:w="661" w:type="dxa"/>
            <w:tcBorders>
              <w:top w:val="nil"/>
              <w:left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24</w:t>
            </w:r>
          </w:p>
        </w:tc>
      </w:tr>
      <w:tr w:rsidR="009951C6" w:rsidRPr="00951F3B" w:rsidTr="00280083">
        <w:tc>
          <w:tcPr>
            <w:tcW w:w="1279"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2F</w:t>
            </w:r>
          </w:p>
        </w:tc>
        <w:tc>
          <w:tcPr>
            <w:tcW w:w="676"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8.39</w:t>
            </w:r>
          </w:p>
        </w:tc>
        <w:tc>
          <w:tcPr>
            <w:tcW w:w="664"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0.680</w:t>
            </w:r>
          </w:p>
        </w:tc>
        <w:tc>
          <w:tcPr>
            <w:tcW w:w="662"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155</w:t>
            </w:r>
          </w:p>
        </w:tc>
        <w:tc>
          <w:tcPr>
            <w:tcW w:w="677"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819</w:t>
            </w:r>
          </w:p>
        </w:tc>
        <w:tc>
          <w:tcPr>
            <w:tcW w:w="663"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31.3</w:t>
            </w:r>
          </w:p>
        </w:tc>
        <w:tc>
          <w:tcPr>
            <w:tcW w:w="662"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108</w:t>
            </w:r>
          </w:p>
        </w:tc>
        <w:tc>
          <w:tcPr>
            <w:tcW w:w="677"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16.1</w:t>
            </w:r>
          </w:p>
        </w:tc>
        <w:tc>
          <w:tcPr>
            <w:tcW w:w="663"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0.709</w:t>
            </w:r>
          </w:p>
        </w:tc>
        <w:tc>
          <w:tcPr>
            <w:tcW w:w="662"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156</w:t>
            </w:r>
          </w:p>
        </w:tc>
        <w:tc>
          <w:tcPr>
            <w:tcW w:w="677"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98.5</w:t>
            </w:r>
          </w:p>
        </w:tc>
        <w:tc>
          <w:tcPr>
            <w:tcW w:w="662"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4.99</w:t>
            </w:r>
          </w:p>
        </w:tc>
        <w:tc>
          <w:tcPr>
            <w:tcW w:w="661"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155</w:t>
            </w:r>
          </w:p>
        </w:tc>
      </w:tr>
      <w:tr w:rsidR="009951C6" w:rsidRPr="00951F3B" w:rsidTr="00280083">
        <w:tc>
          <w:tcPr>
            <w:tcW w:w="1279"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2G</w:t>
            </w:r>
          </w:p>
        </w:tc>
        <w:tc>
          <w:tcPr>
            <w:tcW w:w="676"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8.34</w:t>
            </w:r>
          </w:p>
        </w:tc>
        <w:tc>
          <w:tcPr>
            <w:tcW w:w="664"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0.670</w:t>
            </w:r>
          </w:p>
        </w:tc>
        <w:tc>
          <w:tcPr>
            <w:tcW w:w="662"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156</w:t>
            </w:r>
          </w:p>
        </w:tc>
        <w:tc>
          <w:tcPr>
            <w:tcW w:w="677"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755</w:t>
            </w:r>
          </w:p>
        </w:tc>
        <w:tc>
          <w:tcPr>
            <w:tcW w:w="663"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44.5</w:t>
            </w:r>
          </w:p>
        </w:tc>
        <w:tc>
          <w:tcPr>
            <w:tcW w:w="662"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156</w:t>
            </w:r>
          </w:p>
        </w:tc>
        <w:tc>
          <w:tcPr>
            <w:tcW w:w="677"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16.2</w:t>
            </w:r>
          </w:p>
        </w:tc>
        <w:tc>
          <w:tcPr>
            <w:tcW w:w="663"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0.405</w:t>
            </w:r>
          </w:p>
        </w:tc>
        <w:tc>
          <w:tcPr>
            <w:tcW w:w="662"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156</w:t>
            </w:r>
          </w:p>
        </w:tc>
        <w:tc>
          <w:tcPr>
            <w:tcW w:w="677"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95.0</w:t>
            </w:r>
          </w:p>
        </w:tc>
        <w:tc>
          <w:tcPr>
            <w:tcW w:w="662"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4.28</w:t>
            </w:r>
          </w:p>
        </w:tc>
        <w:tc>
          <w:tcPr>
            <w:tcW w:w="661"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156</w:t>
            </w:r>
          </w:p>
        </w:tc>
      </w:tr>
      <w:tr w:rsidR="009951C6" w:rsidRPr="00951F3B" w:rsidTr="00280083">
        <w:tc>
          <w:tcPr>
            <w:tcW w:w="1279"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2H</w:t>
            </w:r>
          </w:p>
        </w:tc>
        <w:tc>
          <w:tcPr>
            <w:tcW w:w="676"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8.06</w:t>
            </w:r>
          </w:p>
        </w:tc>
        <w:tc>
          <w:tcPr>
            <w:tcW w:w="664"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0.660</w:t>
            </w:r>
          </w:p>
        </w:tc>
        <w:tc>
          <w:tcPr>
            <w:tcW w:w="662"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156</w:t>
            </w:r>
          </w:p>
        </w:tc>
        <w:tc>
          <w:tcPr>
            <w:tcW w:w="677"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711</w:t>
            </w:r>
          </w:p>
        </w:tc>
        <w:tc>
          <w:tcPr>
            <w:tcW w:w="663"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64.4</w:t>
            </w:r>
          </w:p>
        </w:tc>
        <w:tc>
          <w:tcPr>
            <w:tcW w:w="662"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156</w:t>
            </w:r>
          </w:p>
        </w:tc>
        <w:tc>
          <w:tcPr>
            <w:tcW w:w="677"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15.8</w:t>
            </w:r>
          </w:p>
        </w:tc>
        <w:tc>
          <w:tcPr>
            <w:tcW w:w="663"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0.559</w:t>
            </w:r>
          </w:p>
        </w:tc>
        <w:tc>
          <w:tcPr>
            <w:tcW w:w="662"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156</w:t>
            </w:r>
          </w:p>
        </w:tc>
        <w:tc>
          <w:tcPr>
            <w:tcW w:w="677"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90.6</w:t>
            </w:r>
          </w:p>
        </w:tc>
        <w:tc>
          <w:tcPr>
            <w:tcW w:w="662"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6.34</w:t>
            </w:r>
          </w:p>
        </w:tc>
        <w:tc>
          <w:tcPr>
            <w:tcW w:w="661"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156</w:t>
            </w:r>
          </w:p>
        </w:tc>
      </w:tr>
      <w:tr w:rsidR="009951C6" w:rsidRPr="00951F3B" w:rsidTr="00280083">
        <w:tc>
          <w:tcPr>
            <w:tcW w:w="1279"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2I</w:t>
            </w:r>
          </w:p>
        </w:tc>
        <w:tc>
          <w:tcPr>
            <w:tcW w:w="676"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8.24</w:t>
            </w:r>
          </w:p>
        </w:tc>
        <w:tc>
          <w:tcPr>
            <w:tcW w:w="664"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0.890</w:t>
            </w:r>
          </w:p>
        </w:tc>
        <w:tc>
          <w:tcPr>
            <w:tcW w:w="662"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85</w:t>
            </w:r>
          </w:p>
        </w:tc>
        <w:tc>
          <w:tcPr>
            <w:tcW w:w="677"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668</w:t>
            </w:r>
          </w:p>
        </w:tc>
        <w:tc>
          <w:tcPr>
            <w:tcW w:w="663"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37.5</w:t>
            </w:r>
          </w:p>
        </w:tc>
        <w:tc>
          <w:tcPr>
            <w:tcW w:w="662"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85</w:t>
            </w:r>
          </w:p>
        </w:tc>
        <w:tc>
          <w:tcPr>
            <w:tcW w:w="677"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17.0</w:t>
            </w:r>
          </w:p>
        </w:tc>
        <w:tc>
          <w:tcPr>
            <w:tcW w:w="663"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0.498</w:t>
            </w:r>
          </w:p>
        </w:tc>
        <w:tc>
          <w:tcPr>
            <w:tcW w:w="662"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85</w:t>
            </w:r>
          </w:p>
        </w:tc>
        <w:tc>
          <w:tcPr>
            <w:tcW w:w="677"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102</w:t>
            </w:r>
          </w:p>
        </w:tc>
        <w:tc>
          <w:tcPr>
            <w:tcW w:w="662"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5.05</w:t>
            </w:r>
          </w:p>
        </w:tc>
        <w:tc>
          <w:tcPr>
            <w:tcW w:w="661"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85</w:t>
            </w:r>
          </w:p>
        </w:tc>
      </w:tr>
      <w:tr w:rsidR="009951C6" w:rsidRPr="00951F3B" w:rsidTr="00280083">
        <w:tc>
          <w:tcPr>
            <w:tcW w:w="1279" w:type="dxa"/>
            <w:tcBorders>
              <w:top w:val="nil"/>
              <w:left w:val="nil"/>
              <w:bottom w:val="nil"/>
            </w:tcBorders>
            <w:shd w:val="clear" w:color="auto" w:fill="auto"/>
          </w:tcPr>
          <w:p w:rsidR="009951C6" w:rsidRPr="00951F3B" w:rsidRDefault="009951C6" w:rsidP="00EC0340">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2J</w:t>
            </w:r>
          </w:p>
        </w:tc>
        <w:tc>
          <w:tcPr>
            <w:tcW w:w="676"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8.24</w:t>
            </w:r>
          </w:p>
        </w:tc>
        <w:tc>
          <w:tcPr>
            <w:tcW w:w="664"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0.863</w:t>
            </w:r>
          </w:p>
        </w:tc>
        <w:tc>
          <w:tcPr>
            <w:tcW w:w="662"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91</w:t>
            </w:r>
          </w:p>
        </w:tc>
        <w:tc>
          <w:tcPr>
            <w:tcW w:w="677"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762</w:t>
            </w:r>
          </w:p>
        </w:tc>
        <w:tc>
          <w:tcPr>
            <w:tcW w:w="663"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34.3</w:t>
            </w:r>
          </w:p>
        </w:tc>
        <w:tc>
          <w:tcPr>
            <w:tcW w:w="662"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91</w:t>
            </w:r>
          </w:p>
        </w:tc>
        <w:tc>
          <w:tcPr>
            <w:tcW w:w="677"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15.6</w:t>
            </w:r>
          </w:p>
        </w:tc>
        <w:tc>
          <w:tcPr>
            <w:tcW w:w="663"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0.279</w:t>
            </w:r>
          </w:p>
        </w:tc>
        <w:tc>
          <w:tcPr>
            <w:tcW w:w="662" w:type="dxa"/>
            <w:tcBorders>
              <w:top w:val="nil"/>
              <w:left w:val="nil"/>
              <w:bottom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91</w:t>
            </w:r>
          </w:p>
        </w:tc>
        <w:tc>
          <w:tcPr>
            <w:tcW w:w="677" w:type="dxa"/>
            <w:tcBorders>
              <w:top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93.4</w:t>
            </w:r>
          </w:p>
        </w:tc>
        <w:tc>
          <w:tcPr>
            <w:tcW w:w="662"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7.90</w:t>
            </w:r>
          </w:p>
        </w:tc>
        <w:tc>
          <w:tcPr>
            <w:tcW w:w="661" w:type="dxa"/>
            <w:tcBorders>
              <w:top w:val="nil"/>
              <w:left w:val="nil"/>
              <w:bottom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70</w:t>
            </w:r>
          </w:p>
        </w:tc>
      </w:tr>
      <w:tr w:rsidR="009951C6" w:rsidRPr="00951F3B" w:rsidTr="00280083">
        <w:tc>
          <w:tcPr>
            <w:tcW w:w="1279" w:type="dxa"/>
            <w:tcBorders>
              <w:top w:val="nil"/>
              <w:lef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2K</w:t>
            </w:r>
          </w:p>
        </w:tc>
        <w:tc>
          <w:tcPr>
            <w:tcW w:w="676" w:type="dxa"/>
            <w:tcBorders>
              <w:top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8.31</w:t>
            </w:r>
          </w:p>
        </w:tc>
        <w:tc>
          <w:tcPr>
            <w:tcW w:w="664" w:type="dxa"/>
            <w:tcBorders>
              <w:top w:val="nil"/>
              <w:left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0.870</w:t>
            </w:r>
          </w:p>
        </w:tc>
        <w:tc>
          <w:tcPr>
            <w:tcW w:w="662" w:type="dxa"/>
            <w:tcBorders>
              <w:top w:val="nil"/>
              <w:lef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91</w:t>
            </w:r>
          </w:p>
        </w:tc>
        <w:tc>
          <w:tcPr>
            <w:tcW w:w="677" w:type="dxa"/>
            <w:tcBorders>
              <w:top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719</w:t>
            </w:r>
          </w:p>
        </w:tc>
        <w:tc>
          <w:tcPr>
            <w:tcW w:w="663" w:type="dxa"/>
            <w:tcBorders>
              <w:top w:val="nil"/>
              <w:left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128</w:t>
            </w:r>
          </w:p>
        </w:tc>
        <w:tc>
          <w:tcPr>
            <w:tcW w:w="662" w:type="dxa"/>
            <w:tcBorders>
              <w:top w:val="nil"/>
              <w:lef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91</w:t>
            </w:r>
          </w:p>
        </w:tc>
        <w:tc>
          <w:tcPr>
            <w:tcW w:w="677" w:type="dxa"/>
            <w:tcBorders>
              <w:top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19.0</w:t>
            </w:r>
          </w:p>
        </w:tc>
        <w:tc>
          <w:tcPr>
            <w:tcW w:w="663" w:type="dxa"/>
            <w:tcBorders>
              <w:top w:val="nil"/>
              <w:left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1.05</w:t>
            </w:r>
            <w:r w:rsidR="00FD7220" w:rsidRPr="00951F3B">
              <w:rPr>
                <w:rFonts w:ascii="Times New Roman" w:eastAsia="Calibri" w:hAnsi="Times New Roman"/>
                <w:sz w:val="18"/>
                <w:szCs w:val="20"/>
                <w:lang w:val="en-GB"/>
              </w:rPr>
              <w:t>0</w:t>
            </w:r>
          </w:p>
        </w:tc>
        <w:tc>
          <w:tcPr>
            <w:tcW w:w="662" w:type="dxa"/>
            <w:tcBorders>
              <w:top w:val="nil"/>
              <w:lef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91</w:t>
            </w:r>
          </w:p>
        </w:tc>
        <w:tc>
          <w:tcPr>
            <w:tcW w:w="677" w:type="dxa"/>
            <w:tcBorders>
              <w:top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86.9</w:t>
            </w:r>
          </w:p>
        </w:tc>
        <w:tc>
          <w:tcPr>
            <w:tcW w:w="662" w:type="dxa"/>
            <w:tcBorders>
              <w:top w:val="nil"/>
              <w:left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10.4</w:t>
            </w:r>
          </w:p>
        </w:tc>
        <w:tc>
          <w:tcPr>
            <w:tcW w:w="661" w:type="dxa"/>
            <w:tcBorders>
              <w:top w:val="nil"/>
              <w:left w:val="nil"/>
              <w:right w:val="nil"/>
            </w:tcBorders>
            <w:shd w:val="clear" w:color="auto" w:fill="auto"/>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91</w:t>
            </w:r>
          </w:p>
        </w:tc>
      </w:tr>
    </w:tbl>
    <w:p w:rsidR="009951C6" w:rsidRPr="00951F3B" w:rsidRDefault="009951C6" w:rsidP="00280083">
      <w:pPr>
        <w:spacing w:line="480" w:lineRule="auto"/>
        <w:jc w:val="both"/>
        <w:rPr>
          <w:sz w:val="20"/>
          <w:lang w:val="en-GB"/>
        </w:rPr>
      </w:pPr>
    </w:p>
    <w:p w:rsidR="009951C6" w:rsidRPr="00951F3B" w:rsidRDefault="009951C6" w:rsidP="00280083">
      <w:pPr>
        <w:numPr>
          <w:ilvl w:val="1"/>
          <w:numId w:val="45"/>
        </w:numPr>
        <w:spacing w:line="480" w:lineRule="auto"/>
        <w:jc w:val="both"/>
        <w:rPr>
          <w:i/>
          <w:lang w:val="en-GB"/>
        </w:rPr>
      </w:pPr>
      <w:r w:rsidRPr="00951F3B">
        <w:rPr>
          <w:i/>
          <w:lang w:val="en-GB"/>
        </w:rPr>
        <w:t>Actual exposure concentrations</w:t>
      </w:r>
    </w:p>
    <w:p w:rsidR="009951C6" w:rsidRPr="00951F3B" w:rsidRDefault="009951C6" w:rsidP="00280083">
      <w:pPr>
        <w:spacing w:line="480" w:lineRule="auto"/>
        <w:ind w:left="1070"/>
        <w:jc w:val="both"/>
        <w:rPr>
          <w:i/>
          <w:lang w:val="en-GB"/>
        </w:rPr>
      </w:pPr>
      <w:r w:rsidRPr="00951F3B">
        <w:rPr>
          <w:i/>
          <w:lang w:val="en-GB"/>
        </w:rPr>
        <w:t>Cadmium</w:t>
      </w:r>
    </w:p>
    <w:p w:rsidR="00050B4E" w:rsidRPr="00951F3B" w:rsidRDefault="009951C6" w:rsidP="00280083">
      <w:pPr>
        <w:spacing w:line="480" w:lineRule="auto"/>
        <w:jc w:val="both"/>
        <w:rPr>
          <w:lang w:val="en-GB"/>
        </w:rPr>
      </w:pPr>
      <w:r w:rsidRPr="00951F3B">
        <w:rPr>
          <w:lang w:val="en-GB"/>
        </w:rPr>
        <w:t xml:space="preserve">Table 3 summarises the calculated TWMs of </w:t>
      </w:r>
      <w:r w:rsidR="00E25DFB">
        <w:rPr>
          <w:lang w:val="en-GB"/>
        </w:rPr>
        <w:t>measured cadmium concentrations</w:t>
      </w:r>
      <w:r w:rsidRPr="00951F3B">
        <w:rPr>
          <w:lang w:val="en-GB"/>
        </w:rPr>
        <w:t xml:space="preserve"> from both validation studies. More detailed information can be found in the </w:t>
      </w:r>
      <w:r w:rsidR="00B03321" w:rsidRPr="00951F3B">
        <w:rPr>
          <w:lang w:val="en-GB"/>
        </w:rPr>
        <w:t>Supporting Information</w:t>
      </w:r>
      <w:r w:rsidRPr="00951F3B">
        <w:rPr>
          <w:lang w:val="en-GB"/>
        </w:rPr>
        <w:t xml:space="preserve">. Overall, the measured cadmium concentrations were similar among the laboratories. Most of the TWMs were below nominal concentrations and varied between 60.9% and 91.2% of nominal cadmium concentrations. Only in laboratory 2G one measured value was 135% higher than the nominal concentration of 6.25 µg/L. In a few control samples very low background concentrations were measured in the range of ng/L. Only in laboratory 1B 9.89 µg cadmium/L occurred in one sample of old </w:t>
      </w:r>
      <w:r w:rsidR="00A0531B">
        <w:rPr>
          <w:lang w:val="en-GB"/>
        </w:rPr>
        <w:t>control</w:t>
      </w:r>
      <w:r w:rsidRPr="00951F3B">
        <w:rPr>
          <w:lang w:val="en-GB"/>
        </w:rPr>
        <w:t xml:space="preserve"> water, which was most probably the result of a sample tube mix up, as no cadmium could be measured in the freshly prepared sample 2 days before. </w:t>
      </w:r>
      <w:r w:rsidR="00E25DFB">
        <w:rPr>
          <w:lang w:val="en-GB"/>
        </w:rPr>
        <w:t xml:space="preserve">Therefore, this sample was not </w:t>
      </w:r>
      <w:r w:rsidR="00050B4E">
        <w:rPr>
          <w:lang w:val="en-GB"/>
        </w:rPr>
        <w:t>included in the TWM calculation. All effect concentrations reported in this study are based on TWM concentrations in order to facilitate the comparison of results between labs.</w:t>
      </w:r>
    </w:p>
    <w:p w:rsidR="009951C6" w:rsidRPr="00951F3B" w:rsidRDefault="009951C6" w:rsidP="00280083">
      <w:pPr>
        <w:spacing w:line="480" w:lineRule="auto"/>
        <w:jc w:val="both"/>
        <w:rPr>
          <w:lang w:val="en-GB"/>
        </w:rPr>
      </w:pPr>
    </w:p>
    <w:p w:rsidR="009951C6" w:rsidRPr="00951F3B" w:rsidRDefault="009951C6" w:rsidP="00280083">
      <w:pPr>
        <w:spacing w:line="480" w:lineRule="auto"/>
        <w:jc w:val="both"/>
        <w:rPr>
          <w:sz w:val="20"/>
          <w:szCs w:val="20"/>
          <w:lang w:val="en-GB"/>
        </w:rPr>
      </w:pPr>
      <w:r w:rsidRPr="00951F3B">
        <w:rPr>
          <w:sz w:val="20"/>
          <w:szCs w:val="20"/>
          <w:lang w:val="en-GB"/>
        </w:rPr>
        <w:t>Table 3: Time weighted mean</w:t>
      </w:r>
      <w:r w:rsidR="00FD7220" w:rsidRPr="00951F3B">
        <w:rPr>
          <w:sz w:val="20"/>
          <w:szCs w:val="20"/>
          <w:lang w:val="en-GB"/>
        </w:rPr>
        <w:t xml:space="preserve"> concentrations</w:t>
      </w:r>
      <w:r w:rsidRPr="00951F3B">
        <w:rPr>
          <w:sz w:val="20"/>
          <w:szCs w:val="20"/>
          <w:lang w:val="en-GB"/>
        </w:rPr>
        <w:t xml:space="preserve"> of cadmium in validation I and II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593"/>
        <w:gridCol w:w="593"/>
        <w:gridCol w:w="593"/>
        <w:gridCol w:w="593"/>
        <w:gridCol w:w="593"/>
        <w:gridCol w:w="593"/>
        <w:gridCol w:w="593"/>
        <w:gridCol w:w="593"/>
        <w:gridCol w:w="597"/>
      </w:tblGrid>
      <w:tr w:rsidR="009951C6" w:rsidRPr="000962C6" w:rsidTr="00280083">
        <w:trPr>
          <w:trHeight w:val="268"/>
        </w:trPr>
        <w:tc>
          <w:tcPr>
            <w:tcW w:w="1529" w:type="dxa"/>
            <w:vMerge w:val="restart"/>
            <w:tcBorders>
              <w:left w:val="nil"/>
              <w:right w:val="nil"/>
              <w:tl2br w:val="nil"/>
            </w:tcBorders>
            <w:shd w:val="clear" w:color="auto" w:fill="auto"/>
          </w:tcPr>
          <w:p w:rsidR="009951C6" w:rsidRDefault="009951C6" w:rsidP="00280083">
            <w:pPr>
              <w:spacing w:before="120"/>
              <w:jc w:val="center"/>
              <w:rPr>
                <w:rFonts w:eastAsia="Calibri"/>
                <w:sz w:val="18"/>
                <w:szCs w:val="18"/>
                <w:lang w:val="en-GB"/>
              </w:rPr>
            </w:pPr>
            <w:r w:rsidRPr="00951F3B">
              <w:rPr>
                <w:rFonts w:eastAsia="Calibri"/>
                <w:sz w:val="18"/>
                <w:szCs w:val="18"/>
                <w:lang w:val="en-GB"/>
              </w:rPr>
              <w:t xml:space="preserve">Nominal </w:t>
            </w:r>
            <w:r w:rsidRPr="00951F3B">
              <w:rPr>
                <w:rFonts w:eastAsia="Calibri"/>
                <w:sz w:val="18"/>
                <w:szCs w:val="18"/>
                <w:lang w:val="en-GB"/>
              </w:rPr>
              <w:lastRenderedPageBreak/>
              <w:t>concentration</w:t>
            </w:r>
          </w:p>
          <w:p w:rsidR="00B61A3A" w:rsidRPr="00951F3B" w:rsidRDefault="00B61A3A" w:rsidP="00280083">
            <w:pPr>
              <w:spacing w:before="120"/>
              <w:jc w:val="center"/>
              <w:rPr>
                <w:rFonts w:eastAsia="Calibri"/>
                <w:sz w:val="18"/>
                <w:szCs w:val="18"/>
                <w:lang w:val="en-GB"/>
              </w:rPr>
            </w:pPr>
            <w:r>
              <w:rPr>
                <w:rFonts w:eastAsia="Calibri"/>
                <w:sz w:val="18"/>
                <w:szCs w:val="18"/>
                <w:lang w:val="en-GB"/>
              </w:rPr>
              <w:t>[µg Cd/L]</w:t>
            </w:r>
          </w:p>
        </w:tc>
        <w:tc>
          <w:tcPr>
            <w:tcW w:w="5341" w:type="dxa"/>
            <w:gridSpan w:val="9"/>
            <w:tcBorders>
              <w:left w:val="nil"/>
              <w:bottom w:val="nil"/>
              <w:right w:val="nil"/>
            </w:tcBorders>
            <w:shd w:val="clear" w:color="auto" w:fill="auto"/>
          </w:tcPr>
          <w:p w:rsidR="009951C6" w:rsidRDefault="009951C6" w:rsidP="00280083">
            <w:pPr>
              <w:spacing w:before="120" w:after="60"/>
              <w:jc w:val="center"/>
              <w:rPr>
                <w:rFonts w:eastAsia="Calibri"/>
                <w:sz w:val="18"/>
                <w:szCs w:val="18"/>
                <w:lang w:val="en-GB"/>
              </w:rPr>
            </w:pPr>
            <w:r w:rsidRPr="00951F3B">
              <w:rPr>
                <w:rFonts w:eastAsia="Calibri"/>
                <w:sz w:val="18"/>
                <w:szCs w:val="18"/>
                <w:lang w:val="en-GB"/>
              </w:rPr>
              <w:lastRenderedPageBreak/>
              <w:t>Laboratories</w:t>
            </w:r>
          </w:p>
          <w:p w:rsidR="00B61A3A" w:rsidRPr="00951F3B" w:rsidRDefault="00B61A3A" w:rsidP="00280083">
            <w:pPr>
              <w:spacing w:before="120" w:after="60"/>
              <w:jc w:val="center"/>
              <w:rPr>
                <w:rFonts w:eastAsia="Calibri"/>
                <w:sz w:val="18"/>
                <w:szCs w:val="18"/>
                <w:lang w:val="en-GB"/>
              </w:rPr>
            </w:pPr>
            <w:r>
              <w:rPr>
                <w:rFonts w:eastAsia="Calibri"/>
                <w:sz w:val="18"/>
                <w:szCs w:val="18"/>
                <w:lang w:val="en-GB"/>
              </w:rPr>
              <w:lastRenderedPageBreak/>
              <w:t>Measured concentration [µg Cd/L]</w:t>
            </w:r>
          </w:p>
        </w:tc>
      </w:tr>
      <w:tr w:rsidR="009951C6" w:rsidRPr="00951F3B" w:rsidTr="00280083">
        <w:trPr>
          <w:trHeight w:val="70"/>
        </w:trPr>
        <w:tc>
          <w:tcPr>
            <w:tcW w:w="1529" w:type="dxa"/>
            <w:vMerge/>
            <w:tcBorders>
              <w:left w:val="nil"/>
              <w:bottom w:val="single" w:sz="4" w:space="0" w:color="auto"/>
              <w:tl2br w:val="nil"/>
            </w:tcBorders>
            <w:shd w:val="clear" w:color="auto" w:fill="auto"/>
          </w:tcPr>
          <w:p w:rsidR="009951C6" w:rsidRPr="00951F3B" w:rsidRDefault="009951C6" w:rsidP="00280083">
            <w:pPr>
              <w:jc w:val="center"/>
              <w:rPr>
                <w:rFonts w:eastAsia="Calibri"/>
                <w:sz w:val="18"/>
                <w:szCs w:val="18"/>
                <w:lang w:val="en-GB"/>
              </w:rPr>
            </w:pPr>
          </w:p>
        </w:tc>
        <w:tc>
          <w:tcPr>
            <w:tcW w:w="593"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1A</w:t>
            </w:r>
          </w:p>
        </w:tc>
        <w:tc>
          <w:tcPr>
            <w:tcW w:w="593"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1B</w:t>
            </w:r>
          </w:p>
        </w:tc>
        <w:tc>
          <w:tcPr>
            <w:tcW w:w="593"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1C</w:t>
            </w:r>
          </w:p>
        </w:tc>
        <w:tc>
          <w:tcPr>
            <w:tcW w:w="593"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1D</w:t>
            </w:r>
          </w:p>
        </w:tc>
        <w:tc>
          <w:tcPr>
            <w:tcW w:w="593"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2A</w:t>
            </w:r>
          </w:p>
        </w:tc>
        <w:tc>
          <w:tcPr>
            <w:tcW w:w="593"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2E</w:t>
            </w:r>
          </w:p>
        </w:tc>
        <w:tc>
          <w:tcPr>
            <w:tcW w:w="593"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2F</w:t>
            </w:r>
          </w:p>
        </w:tc>
        <w:tc>
          <w:tcPr>
            <w:tcW w:w="593"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2G</w:t>
            </w:r>
          </w:p>
        </w:tc>
        <w:tc>
          <w:tcPr>
            <w:tcW w:w="597" w:type="dxa"/>
            <w:tcBorders>
              <w:top w:val="nil"/>
              <w:bottom w:val="single" w:sz="4" w:space="0" w:color="auto"/>
              <w:right w:val="nil"/>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2H</w:t>
            </w:r>
          </w:p>
        </w:tc>
      </w:tr>
      <w:tr w:rsidR="009951C6" w:rsidRPr="00951F3B" w:rsidTr="00280083">
        <w:trPr>
          <w:trHeight w:val="211"/>
        </w:trPr>
        <w:tc>
          <w:tcPr>
            <w:tcW w:w="1529" w:type="dxa"/>
            <w:tcBorders>
              <w:left w:val="nil"/>
              <w:bottom w:val="nil"/>
            </w:tcBorders>
            <w:shd w:val="clear" w:color="auto" w:fill="auto"/>
          </w:tcPr>
          <w:p w:rsidR="009951C6" w:rsidRPr="00951F3B" w:rsidRDefault="009951C6" w:rsidP="00280083">
            <w:pPr>
              <w:jc w:val="center"/>
              <w:rPr>
                <w:rFonts w:eastAsia="Calibri"/>
                <w:sz w:val="18"/>
                <w:szCs w:val="18"/>
                <w:lang w:val="en-GB"/>
              </w:rPr>
            </w:pPr>
            <w:r w:rsidRPr="00951F3B">
              <w:rPr>
                <w:rFonts w:eastAsia="Calibri"/>
                <w:sz w:val="18"/>
                <w:szCs w:val="18"/>
                <w:lang w:val="en-GB"/>
              </w:rPr>
              <w:t>Control</w:t>
            </w:r>
          </w:p>
        </w:tc>
        <w:tc>
          <w:tcPr>
            <w:tcW w:w="593" w:type="dxa"/>
            <w:tcBorders>
              <w:bottom w:val="nil"/>
            </w:tcBorders>
            <w:shd w:val="clear" w:color="auto" w:fill="auto"/>
            <w:vAlign w:val="center"/>
          </w:tcPr>
          <w:p w:rsidR="009951C6" w:rsidRPr="00951F3B" w:rsidRDefault="009951C6" w:rsidP="00FD7220">
            <w:pPr>
              <w:jc w:val="center"/>
              <w:rPr>
                <w:color w:val="000000"/>
                <w:sz w:val="18"/>
                <w:szCs w:val="18"/>
                <w:lang w:val="en-GB" w:eastAsia="en-GB"/>
              </w:rPr>
            </w:pPr>
            <w:r w:rsidRPr="00951F3B">
              <w:rPr>
                <w:color w:val="000000"/>
                <w:sz w:val="18"/>
                <w:szCs w:val="18"/>
                <w:lang w:val="en-GB" w:eastAsia="en-GB"/>
              </w:rPr>
              <w:t>n.</w:t>
            </w:r>
            <w:r w:rsidR="00FD7220" w:rsidRPr="00951F3B">
              <w:rPr>
                <w:color w:val="000000"/>
                <w:sz w:val="18"/>
                <w:szCs w:val="18"/>
                <w:lang w:val="en-GB" w:eastAsia="en-GB"/>
              </w:rPr>
              <w:t>d</w:t>
            </w:r>
            <w:r w:rsidRPr="00951F3B">
              <w:rPr>
                <w:color w:val="000000"/>
                <w:sz w:val="18"/>
                <w:szCs w:val="18"/>
                <w:lang w:val="en-GB" w:eastAsia="en-GB"/>
              </w:rPr>
              <w:t>.</w:t>
            </w:r>
          </w:p>
        </w:tc>
        <w:tc>
          <w:tcPr>
            <w:tcW w:w="593" w:type="dxa"/>
            <w:tcBorders>
              <w:bottom w:val="nil"/>
            </w:tcBorders>
            <w:shd w:val="clear" w:color="auto" w:fill="auto"/>
            <w:vAlign w:val="center"/>
          </w:tcPr>
          <w:p w:rsidR="009951C6" w:rsidRPr="00951F3B" w:rsidRDefault="004259BB" w:rsidP="00280083">
            <w:pPr>
              <w:jc w:val="center"/>
              <w:rPr>
                <w:color w:val="000000"/>
                <w:sz w:val="18"/>
                <w:szCs w:val="18"/>
                <w:lang w:val="en-GB" w:eastAsia="en-GB"/>
              </w:rPr>
            </w:pPr>
            <w:r>
              <w:rPr>
                <w:color w:val="000000"/>
                <w:sz w:val="18"/>
                <w:szCs w:val="18"/>
                <w:lang w:val="en-GB" w:eastAsia="en-GB"/>
              </w:rPr>
              <w:t>n.d.</w:t>
            </w:r>
          </w:p>
        </w:tc>
        <w:tc>
          <w:tcPr>
            <w:tcW w:w="593" w:type="dxa"/>
            <w:tcBorders>
              <w:bottom w:val="nil"/>
            </w:tcBorders>
            <w:shd w:val="clear" w:color="auto" w:fill="auto"/>
            <w:vAlign w:val="center"/>
          </w:tcPr>
          <w:p w:rsidR="009951C6" w:rsidRPr="00951F3B" w:rsidRDefault="009951C6" w:rsidP="00FD7220">
            <w:pPr>
              <w:jc w:val="center"/>
              <w:rPr>
                <w:color w:val="000000"/>
                <w:sz w:val="18"/>
                <w:szCs w:val="18"/>
                <w:lang w:val="en-GB" w:eastAsia="en-GB"/>
              </w:rPr>
            </w:pPr>
            <w:r w:rsidRPr="00951F3B">
              <w:rPr>
                <w:color w:val="000000"/>
                <w:sz w:val="18"/>
                <w:szCs w:val="18"/>
                <w:lang w:val="en-GB" w:eastAsia="en-GB"/>
              </w:rPr>
              <w:t>n.</w:t>
            </w:r>
            <w:r w:rsidR="00FD7220" w:rsidRPr="00951F3B">
              <w:rPr>
                <w:color w:val="000000"/>
                <w:sz w:val="18"/>
                <w:szCs w:val="18"/>
                <w:lang w:val="en-GB" w:eastAsia="en-GB"/>
              </w:rPr>
              <w:t>d</w:t>
            </w:r>
            <w:r w:rsidRPr="00951F3B">
              <w:rPr>
                <w:color w:val="000000"/>
                <w:sz w:val="18"/>
                <w:szCs w:val="18"/>
                <w:lang w:val="en-GB" w:eastAsia="en-GB"/>
              </w:rPr>
              <w:t>.</w:t>
            </w:r>
          </w:p>
        </w:tc>
        <w:tc>
          <w:tcPr>
            <w:tcW w:w="593" w:type="dxa"/>
            <w:tcBorders>
              <w:bottom w:val="nil"/>
            </w:tcBorders>
            <w:shd w:val="clear" w:color="auto" w:fill="auto"/>
            <w:vAlign w:val="center"/>
          </w:tcPr>
          <w:p w:rsidR="009951C6" w:rsidRPr="00951F3B" w:rsidRDefault="009951C6" w:rsidP="00FD7220">
            <w:pPr>
              <w:jc w:val="center"/>
              <w:rPr>
                <w:color w:val="000000"/>
                <w:sz w:val="18"/>
                <w:szCs w:val="18"/>
                <w:lang w:val="en-GB" w:eastAsia="en-GB"/>
              </w:rPr>
            </w:pPr>
            <w:r w:rsidRPr="00951F3B">
              <w:rPr>
                <w:color w:val="000000"/>
                <w:sz w:val="18"/>
                <w:szCs w:val="18"/>
                <w:lang w:val="en-GB" w:eastAsia="en-GB"/>
              </w:rPr>
              <w:t>n.</w:t>
            </w:r>
            <w:r w:rsidR="00FD7220" w:rsidRPr="00951F3B">
              <w:rPr>
                <w:color w:val="000000"/>
                <w:sz w:val="18"/>
                <w:szCs w:val="18"/>
                <w:lang w:val="en-GB" w:eastAsia="en-GB"/>
              </w:rPr>
              <w:t>d</w:t>
            </w:r>
            <w:r w:rsidRPr="00951F3B">
              <w:rPr>
                <w:color w:val="000000"/>
                <w:sz w:val="18"/>
                <w:szCs w:val="18"/>
                <w:lang w:val="en-GB" w:eastAsia="en-GB"/>
              </w:rPr>
              <w:t>.</w:t>
            </w:r>
          </w:p>
        </w:tc>
        <w:tc>
          <w:tcPr>
            <w:tcW w:w="593" w:type="dxa"/>
            <w:tcBorders>
              <w:bottom w:val="nil"/>
            </w:tcBorders>
            <w:shd w:val="clear" w:color="auto" w:fill="auto"/>
            <w:vAlign w:val="center"/>
          </w:tcPr>
          <w:p w:rsidR="009951C6" w:rsidRPr="00951F3B" w:rsidRDefault="009951C6" w:rsidP="00FD7220">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n.</w:t>
            </w:r>
            <w:r w:rsidR="00FD7220" w:rsidRPr="00951F3B">
              <w:rPr>
                <w:rFonts w:ascii="Times New Roman" w:eastAsia="Calibri" w:hAnsi="Times New Roman"/>
                <w:sz w:val="18"/>
                <w:szCs w:val="20"/>
                <w:lang w:val="en-GB"/>
              </w:rPr>
              <w:t>d</w:t>
            </w:r>
            <w:r w:rsidRPr="00951F3B">
              <w:rPr>
                <w:rFonts w:ascii="Times New Roman" w:eastAsia="Calibri" w:hAnsi="Times New Roman"/>
                <w:sz w:val="18"/>
                <w:szCs w:val="20"/>
                <w:lang w:val="en-GB"/>
              </w:rPr>
              <w:t>.</w:t>
            </w:r>
          </w:p>
        </w:tc>
        <w:tc>
          <w:tcPr>
            <w:tcW w:w="593" w:type="dxa"/>
            <w:tcBorders>
              <w:bottom w:val="nil"/>
            </w:tcBorders>
            <w:shd w:val="clear" w:color="auto" w:fill="auto"/>
            <w:vAlign w:val="center"/>
          </w:tcPr>
          <w:p w:rsidR="009951C6" w:rsidRPr="00951F3B" w:rsidRDefault="009951C6" w:rsidP="00FD7220">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n.</w:t>
            </w:r>
            <w:r w:rsidR="00FD7220" w:rsidRPr="00951F3B">
              <w:rPr>
                <w:rFonts w:ascii="Times New Roman" w:eastAsia="Calibri" w:hAnsi="Times New Roman"/>
                <w:sz w:val="18"/>
                <w:szCs w:val="20"/>
                <w:lang w:val="en-GB"/>
              </w:rPr>
              <w:t>d</w:t>
            </w:r>
            <w:r w:rsidRPr="00951F3B">
              <w:rPr>
                <w:rFonts w:ascii="Times New Roman" w:eastAsia="Calibri" w:hAnsi="Times New Roman"/>
                <w:sz w:val="18"/>
                <w:szCs w:val="20"/>
                <w:lang w:val="en-GB"/>
              </w:rPr>
              <w:t>.</w:t>
            </w:r>
          </w:p>
        </w:tc>
        <w:tc>
          <w:tcPr>
            <w:tcW w:w="593" w:type="dxa"/>
            <w:tcBorders>
              <w:bottom w:val="nil"/>
            </w:tcBorders>
            <w:shd w:val="clear" w:color="auto" w:fill="auto"/>
            <w:vAlign w:val="center"/>
          </w:tcPr>
          <w:p w:rsidR="009951C6" w:rsidRPr="00951F3B" w:rsidRDefault="009951C6" w:rsidP="00FD7220">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n.</w:t>
            </w:r>
            <w:r w:rsidR="00FD7220" w:rsidRPr="00951F3B">
              <w:rPr>
                <w:rFonts w:ascii="Times New Roman" w:eastAsia="Calibri" w:hAnsi="Times New Roman"/>
                <w:sz w:val="18"/>
                <w:szCs w:val="20"/>
                <w:lang w:val="en-GB"/>
              </w:rPr>
              <w:t>d</w:t>
            </w:r>
            <w:r w:rsidRPr="00951F3B">
              <w:rPr>
                <w:rFonts w:ascii="Times New Roman" w:eastAsia="Calibri" w:hAnsi="Times New Roman"/>
                <w:sz w:val="18"/>
                <w:szCs w:val="20"/>
                <w:lang w:val="en-GB"/>
              </w:rPr>
              <w:t>.</w:t>
            </w:r>
          </w:p>
        </w:tc>
        <w:tc>
          <w:tcPr>
            <w:tcW w:w="593" w:type="dxa"/>
            <w:tcBorders>
              <w:bottom w:val="nil"/>
            </w:tcBorders>
            <w:shd w:val="clear" w:color="auto" w:fill="auto"/>
            <w:vAlign w:val="center"/>
          </w:tcPr>
          <w:p w:rsidR="009951C6" w:rsidRPr="00951F3B" w:rsidRDefault="009951C6" w:rsidP="00FD7220">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n.</w:t>
            </w:r>
            <w:r w:rsidR="00FD7220" w:rsidRPr="00951F3B">
              <w:rPr>
                <w:rFonts w:ascii="Times New Roman" w:eastAsia="Calibri" w:hAnsi="Times New Roman"/>
                <w:sz w:val="18"/>
                <w:szCs w:val="20"/>
                <w:lang w:val="en-GB"/>
              </w:rPr>
              <w:t>d</w:t>
            </w:r>
            <w:r w:rsidRPr="00951F3B">
              <w:rPr>
                <w:rFonts w:ascii="Times New Roman" w:eastAsia="Calibri" w:hAnsi="Times New Roman"/>
                <w:sz w:val="18"/>
                <w:szCs w:val="20"/>
                <w:lang w:val="en-GB"/>
              </w:rPr>
              <w:t>.</w:t>
            </w:r>
          </w:p>
        </w:tc>
        <w:tc>
          <w:tcPr>
            <w:tcW w:w="597" w:type="dxa"/>
            <w:tcBorders>
              <w:bottom w:val="nil"/>
              <w:right w:val="nil"/>
            </w:tcBorders>
            <w:shd w:val="clear" w:color="auto" w:fill="auto"/>
            <w:vAlign w:val="center"/>
          </w:tcPr>
          <w:p w:rsidR="009951C6" w:rsidRPr="00951F3B" w:rsidRDefault="009951C6" w:rsidP="00FD7220">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n.</w:t>
            </w:r>
            <w:r w:rsidR="00FD7220" w:rsidRPr="00951F3B">
              <w:rPr>
                <w:rFonts w:ascii="Times New Roman" w:eastAsia="Calibri" w:hAnsi="Times New Roman"/>
                <w:sz w:val="18"/>
                <w:szCs w:val="20"/>
                <w:lang w:val="en-GB"/>
              </w:rPr>
              <w:t>d</w:t>
            </w:r>
            <w:r w:rsidRPr="00951F3B">
              <w:rPr>
                <w:rFonts w:ascii="Times New Roman" w:eastAsia="Calibri" w:hAnsi="Times New Roman"/>
                <w:sz w:val="18"/>
                <w:szCs w:val="20"/>
                <w:lang w:val="en-GB"/>
              </w:rPr>
              <w:t>.</w:t>
            </w:r>
          </w:p>
        </w:tc>
      </w:tr>
      <w:tr w:rsidR="009951C6" w:rsidRPr="00951F3B" w:rsidTr="00280083">
        <w:trPr>
          <w:trHeight w:val="228"/>
        </w:trPr>
        <w:tc>
          <w:tcPr>
            <w:tcW w:w="1529" w:type="dxa"/>
            <w:tcBorders>
              <w:top w:val="nil"/>
              <w:left w:val="nil"/>
              <w:bottom w:val="nil"/>
            </w:tcBorders>
            <w:shd w:val="clear" w:color="auto" w:fill="auto"/>
            <w:vAlign w:val="center"/>
          </w:tcPr>
          <w:p w:rsidR="009951C6" w:rsidRPr="00951F3B" w:rsidRDefault="009951C6" w:rsidP="00280083">
            <w:pPr>
              <w:jc w:val="center"/>
              <w:rPr>
                <w:rFonts w:eastAsia="Calibri"/>
                <w:sz w:val="18"/>
                <w:szCs w:val="18"/>
                <w:lang w:val="en-GB"/>
              </w:rPr>
            </w:pPr>
            <w:r w:rsidRPr="00951F3B">
              <w:rPr>
                <w:rFonts w:eastAsia="Calibri"/>
                <w:sz w:val="18"/>
                <w:szCs w:val="18"/>
                <w:lang w:val="en-GB"/>
              </w:rPr>
              <w:t>1.56</w:t>
            </w:r>
          </w:p>
        </w:tc>
        <w:tc>
          <w:tcPr>
            <w:tcW w:w="593" w:type="dxa"/>
            <w:tcBorders>
              <w:top w:val="nil"/>
              <w:bottom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1.13</w:t>
            </w:r>
          </w:p>
        </w:tc>
        <w:tc>
          <w:tcPr>
            <w:tcW w:w="593" w:type="dxa"/>
            <w:tcBorders>
              <w:top w:val="nil"/>
              <w:bottom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1.18</w:t>
            </w:r>
          </w:p>
        </w:tc>
        <w:tc>
          <w:tcPr>
            <w:tcW w:w="593" w:type="dxa"/>
            <w:tcBorders>
              <w:top w:val="nil"/>
              <w:bottom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1.12</w:t>
            </w:r>
          </w:p>
        </w:tc>
        <w:tc>
          <w:tcPr>
            <w:tcW w:w="593" w:type="dxa"/>
            <w:tcBorders>
              <w:top w:val="nil"/>
              <w:bottom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1.21</w:t>
            </w:r>
          </w:p>
        </w:tc>
        <w:tc>
          <w:tcPr>
            <w:tcW w:w="593" w:type="dxa"/>
            <w:tcBorders>
              <w:top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1.07</w:t>
            </w:r>
          </w:p>
        </w:tc>
        <w:tc>
          <w:tcPr>
            <w:tcW w:w="593" w:type="dxa"/>
            <w:tcBorders>
              <w:top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1.06</w:t>
            </w:r>
          </w:p>
        </w:tc>
        <w:tc>
          <w:tcPr>
            <w:tcW w:w="593" w:type="dxa"/>
            <w:tcBorders>
              <w:top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1.06</w:t>
            </w:r>
          </w:p>
        </w:tc>
        <w:tc>
          <w:tcPr>
            <w:tcW w:w="593" w:type="dxa"/>
            <w:tcBorders>
              <w:top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1.41</w:t>
            </w:r>
          </w:p>
        </w:tc>
        <w:tc>
          <w:tcPr>
            <w:tcW w:w="597" w:type="dxa"/>
            <w:tcBorders>
              <w:top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0.95</w:t>
            </w:r>
          </w:p>
        </w:tc>
      </w:tr>
      <w:tr w:rsidR="009951C6" w:rsidRPr="00951F3B" w:rsidTr="00280083">
        <w:trPr>
          <w:trHeight w:val="243"/>
        </w:trPr>
        <w:tc>
          <w:tcPr>
            <w:tcW w:w="1529" w:type="dxa"/>
            <w:tcBorders>
              <w:top w:val="nil"/>
              <w:left w:val="nil"/>
              <w:bottom w:val="nil"/>
            </w:tcBorders>
            <w:shd w:val="clear" w:color="auto" w:fill="auto"/>
            <w:vAlign w:val="center"/>
          </w:tcPr>
          <w:p w:rsidR="009951C6" w:rsidRPr="00951F3B" w:rsidRDefault="009951C6" w:rsidP="00B61A3A">
            <w:pPr>
              <w:jc w:val="center"/>
              <w:rPr>
                <w:rFonts w:eastAsia="Calibri"/>
                <w:sz w:val="18"/>
                <w:szCs w:val="18"/>
                <w:lang w:val="en-GB"/>
              </w:rPr>
            </w:pPr>
            <w:r w:rsidRPr="00951F3B">
              <w:rPr>
                <w:rFonts w:eastAsia="Calibri"/>
                <w:sz w:val="18"/>
                <w:szCs w:val="18"/>
                <w:lang w:val="en-GB"/>
              </w:rPr>
              <w:t>3.13</w:t>
            </w:r>
          </w:p>
        </w:tc>
        <w:tc>
          <w:tcPr>
            <w:tcW w:w="593" w:type="dxa"/>
            <w:tcBorders>
              <w:top w:val="nil"/>
              <w:bottom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2.46</w:t>
            </w:r>
          </w:p>
        </w:tc>
        <w:tc>
          <w:tcPr>
            <w:tcW w:w="593" w:type="dxa"/>
            <w:tcBorders>
              <w:top w:val="nil"/>
              <w:bottom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2.54</w:t>
            </w:r>
          </w:p>
        </w:tc>
        <w:tc>
          <w:tcPr>
            <w:tcW w:w="593" w:type="dxa"/>
            <w:tcBorders>
              <w:top w:val="nil"/>
              <w:bottom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1.95</w:t>
            </w:r>
          </w:p>
        </w:tc>
        <w:tc>
          <w:tcPr>
            <w:tcW w:w="593" w:type="dxa"/>
            <w:tcBorders>
              <w:top w:val="nil"/>
              <w:bottom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2.44</w:t>
            </w:r>
          </w:p>
        </w:tc>
        <w:tc>
          <w:tcPr>
            <w:tcW w:w="593" w:type="dxa"/>
            <w:tcBorders>
              <w:top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2.09</w:t>
            </w:r>
          </w:p>
        </w:tc>
        <w:tc>
          <w:tcPr>
            <w:tcW w:w="593" w:type="dxa"/>
            <w:tcBorders>
              <w:top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2.14</w:t>
            </w:r>
          </w:p>
        </w:tc>
        <w:tc>
          <w:tcPr>
            <w:tcW w:w="593" w:type="dxa"/>
            <w:tcBorders>
              <w:top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2.37</w:t>
            </w:r>
          </w:p>
        </w:tc>
        <w:tc>
          <w:tcPr>
            <w:tcW w:w="593" w:type="dxa"/>
            <w:tcBorders>
              <w:top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2.48</w:t>
            </w:r>
          </w:p>
        </w:tc>
        <w:tc>
          <w:tcPr>
            <w:tcW w:w="597" w:type="dxa"/>
            <w:tcBorders>
              <w:top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2.21</w:t>
            </w:r>
          </w:p>
        </w:tc>
      </w:tr>
      <w:tr w:rsidR="009951C6" w:rsidRPr="00951F3B" w:rsidTr="00280083">
        <w:trPr>
          <w:trHeight w:val="243"/>
        </w:trPr>
        <w:tc>
          <w:tcPr>
            <w:tcW w:w="1529" w:type="dxa"/>
            <w:tcBorders>
              <w:top w:val="nil"/>
              <w:left w:val="nil"/>
              <w:bottom w:val="nil"/>
            </w:tcBorders>
            <w:shd w:val="clear" w:color="auto" w:fill="auto"/>
            <w:vAlign w:val="center"/>
          </w:tcPr>
          <w:p w:rsidR="009951C6" w:rsidRPr="00951F3B" w:rsidRDefault="009951C6" w:rsidP="00B61A3A">
            <w:pPr>
              <w:jc w:val="center"/>
              <w:rPr>
                <w:rFonts w:eastAsia="Calibri"/>
                <w:sz w:val="18"/>
                <w:szCs w:val="18"/>
                <w:lang w:val="en-GB"/>
              </w:rPr>
            </w:pPr>
            <w:r w:rsidRPr="00951F3B">
              <w:rPr>
                <w:rFonts w:eastAsia="Calibri"/>
                <w:sz w:val="18"/>
                <w:szCs w:val="18"/>
                <w:lang w:val="en-GB"/>
              </w:rPr>
              <w:t>6.25</w:t>
            </w:r>
          </w:p>
        </w:tc>
        <w:tc>
          <w:tcPr>
            <w:tcW w:w="593" w:type="dxa"/>
            <w:tcBorders>
              <w:top w:val="nil"/>
              <w:bottom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5.61</w:t>
            </w:r>
          </w:p>
        </w:tc>
        <w:tc>
          <w:tcPr>
            <w:tcW w:w="593" w:type="dxa"/>
            <w:tcBorders>
              <w:top w:val="nil"/>
              <w:bottom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4.83</w:t>
            </w:r>
          </w:p>
        </w:tc>
        <w:tc>
          <w:tcPr>
            <w:tcW w:w="593" w:type="dxa"/>
            <w:tcBorders>
              <w:top w:val="nil"/>
              <w:bottom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5.62</w:t>
            </w:r>
          </w:p>
        </w:tc>
        <w:tc>
          <w:tcPr>
            <w:tcW w:w="593" w:type="dxa"/>
            <w:tcBorders>
              <w:top w:val="nil"/>
              <w:bottom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4.69</w:t>
            </w:r>
          </w:p>
        </w:tc>
        <w:tc>
          <w:tcPr>
            <w:tcW w:w="593" w:type="dxa"/>
            <w:tcBorders>
              <w:top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4.62</w:t>
            </w:r>
          </w:p>
        </w:tc>
        <w:tc>
          <w:tcPr>
            <w:tcW w:w="593" w:type="dxa"/>
            <w:tcBorders>
              <w:top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4.24</w:t>
            </w:r>
          </w:p>
        </w:tc>
        <w:tc>
          <w:tcPr>
            <w:tcW w:w="593" w:type="dxa"/>
            <w:tcBorders>
              <w:top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4.74</w:t>
            </w:r>
          </w:p>
        </w:tc>
        <w:tc>
          <w:tcPr>
            <w:tcW w:w="593" w:type="dxa"/>
            <w:tcBorders>
              <w:top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8.42</w:t>
            </w:r>
          </w:p>
        </w:tc>
        <w:tc>
          <w:tcPr>
            <w:tcW w:w="597" w:type="dxa"/>
            <w:tcBorders>
              <w:top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4.78</w:t>
            </w:r>
          </w:p>
        </w:tc>
      </w:tr>
      <w:tr w:rsidR="009951C6" w:rsidRPr="00951F3B" w:rsidTr="00280083">
        <w:trPr>
          <w:trHeight w:val="228"/>
        </w:trPr>
        <w:tc>
          <w:tcPr>
            <w:tcW w:w="1529" w:type="dxa"/>
            <w:tcBorders>
              <w:top w:val="nil"/>
              <w:left w:val="nil"/>
              <w:bottom w:val="nil"/>
            </w:tcBorders>
            <w:shd w:val="clear" w:color="auto" w:fill="auto"/>
            <w:vAlign w:val="center"/>
          </w:tcPr>
          <w:p w:rsidR="009951C6" w:rsidRPr="00951F3B" w:rsidRDefault="009951C6" w:rsidP="00B61A3A">
            <w:pPr>
              <w:jc w:val="center"/>
              <w:rPr>
                <w:rFonts w:eastAsia="Calibri"/>
                <w:sz w:val="18"/>
                <w:szCs w:val="18"/>
                <w:lang w:val="en-GB"/>
              </w:rPr>
            </w:pPr>
            <w:r w:rsidRPr="00951F3B">
              <w:rPr>
                <w:rFonts w:eastAsia="Calibri"/>
                <w:sz w:val="18"/>
                <w:szCs w:val="18"/>
                <w:lang w:val="en-GB"/>
              </w:rPr>
              <w:t>12.5</w:t>
            </w:r>
          </w:p>
        </w:tc>
        <w:tc>
          <w:tcPr>
            <w:tcW w:w="593" w:type="dxa"/>
            <w:tcBorders>
              <w:top w:val="nil"/>
              <w:bottom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10.9</w:t>
            </w:r>
          </w:p>
        </w:tc>
        <w:tc>
          <w:tcPr>
            <w:tcW w:w="593" w:type="dxa"/>
            <w:tcBorders>
              <w:top w:val="nil"/>
              <w:bottom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9.71</w:t>
            </w:r>
          </w:p>
        </w:tc>
        <w:tc>
          <w:tcPr>
            <w:tcW w:w="593" w:type="dxa"/>
            <w:tcBorders>
              <w:top w:val="nil"/>
              <w:bottom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7.70</w:t>
            </w:r>
          </w:p>
        </w:tc>
        <w:tc>
          <w:tcPr>
            <w:tcW w:w="593" w:type="dxa"/>
            <w:tcBorders>
              <w:top w:val="nil"/>
              <w:bottom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9.45</w:t>
            </w:r>
          </w:p>
        </w:tc>
        <w:tc>
          <w:tcPr>
            <w:tcW w:w="593" w:type="dxa"/>
            <w:tcBorders>
              <w:top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11.1</w:t>
            </w:r>
          </w:p>
        </w:tc>
        <w:tc>
          <w:tcPr>
            <w:tcW w:w="593" w:type="dxa"/>
            <w:tcBorders>
              <w:top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9.03</w:t>
            </w:r>
          </w:p>
        </w:tc>
        <w:tc>
          <w:tcPr>
            <w:tcW w:w="593" w:type="dxa"/>
            <w:tcBorders>
              <w:top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10.6</w:t>
            </w:r>
          </w:p>
        </w:tc>
        <w:tc>
          <w:tcPr>
            <w:tcW w:w="593" w:type="dxa"/>
            <w:tcBorders>
              <w:top w:val="nil"/>
              <w:bottom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10.1</w:t>
            </w:r>
          </w:p>
        </w:tc>
        <w:tc>
          <w:tcPr>
            <w:tcW w:w="597" w:type="dxa"/>
            <w:tcBorders>
              <w:top w:val="nil"/>
              <w:bottom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9.19</w:t>
            </w:r>
          </w:p>
        </w:tc>
      </w:tr>
      <w:tr w:rsidR="009951C6" w:rsidRPr="00951F3B" w:rsidTr="00280083">
        <w:trPr>
          <w:trHeight w:val="243"/>
        </w:trPr>
        <w:tc>
          <w:tcPr>
            <w:tcW w:w="1529" w:type="dxa"/>
            <w:tcBorders>
              <w:top w:val="nil"/>
              <w:left w:val="nil"/>
            </w:tcBorders>
            <w:shd w:val="clear" w:color="auto" w:fill="auto"/>
            <w:vAlign w:val="center"/>
          </w:tcPr>
          <w:p w:rsidR="009951C6" w:rsidRPr="00951F3B" w:rsidRDefault="009951C6" w:rsidP="00B61A3A">
            <w:pPr>
              <w:jc w:val="center"/>
              <w:rPr>
                <w:rFonts w:eastAsia="Calibri"/>
                <w:sz w:val="18"/>
                <w:szCs w:val="18"/>
                <w:lang w:val="en-GB"/>
              </w:rPr>
            </w:pPr>
            <w:r w:rsidRPr="00951F3B">
              <w:rPr>
                <w:rFonts w:eastAsia="Calibri"/>
                <w:sz w:val="18"/>
                <w:szCs w:val="18"/>
                <w:lang w:val="en-GB"/>
              </w:rPr>
              <w:t>25</w:t>
            </w:r>
          </w:p>
        </w:tc>
        <w:tc>
          <w:tcPr>
            <w:tcW w:w="593" w:type="dxa"/>
            <w:tcBorders>
              <w:top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20.0</w:t>
            </w:r>
          </w:p>
        </w:tc>
        <w:tc>
          <w:tcPr>
            <w:tcW w:w="593" w:type="dxa"/>
            <w:tcBorders>
              <w:top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19.1</w:t>
            </w:r>
          </w:p>
        </w:tc>
        <w:tc>
          <w:tcPr>
            <w:tcW w:w="593" w:type="dxa"/>
            <w:tcBorders>
              <w:top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22.8</w:t>
            </w:r>
          </w:p>
        </w:tc>
        <w:tc>
          <w:tcPr>
            <w:tcW w:w="593" w:type="dxa"/>
            <w:tcBorders>
              <w:top w:val="nil"/>
            </w:tcBorders>
            <w:shd w:val="clear" w:color="auto" w:fill="auto"/>
            <w:vAlign w:val="center"/>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19.0</w:t>
            </w:r>
          </w:p>
        </w:tc>
        <w:tc>
          <w:tcPr>
            <w:tcW w:w="593" w:type="dxa"/>
            <w:tcBorders>
              <w:top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20.8</w:t>
            </w:r>
          </w:p>
        </w:tc>
        <w:tc>
          <w:tcPr>
            <w:tcW w:w="593" w:type="dxa"/>
            <w:tcBorders>
              <w:top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17.8</w:t>
            </w:r>
          </w:p>
        </w:tc>
        <w:tc>
          <w:tcPr>
            <w:tcW w:w="593" w:type="dxa"/>
            <w:tcBorders>
              <w:top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21.0</w:t>
            </w:r>
          </w:p>
        </w:tc>
        <w:tc>
          <w:tcPr>
            <w:tcW w:w="593" w:type="dxa"/>
            <w:tcBorders>
              <w:top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15.9</w:t>
            </w:r>
          </w:p>
        </w:tc>
        <w:tc>
          <w:tcPr>
            <w:tcW w:w="597" w:type="dxa"/>
            <w:tcBorders>
              <w:top w:val="nil"/>
              <w:right w:val="nil"/>
            </w:tcBorders>
            <w:shd w:val="clear" w:color="auto" w:fill="auto"/>
            <w:vAlign w:val="center"/>
          </w:tcPr>
          <w:p w:rsidR="009951C6" w:rsidRPr="00951F3B" w:rsidRDefault="009951C6" w:rsidP="00280083">
            <w:pPr>
              <w:pStyle w:val="NoSpacing"/>
              <w:spacing w:line="276" w:lineRule="auto"/>
              <w:jc w:val="center"/>
              <w:rPr>
                <w:rFonts w:ascii="Times New Roman" w:eastAsia="Calibri" w:hAnsi="Times New Roman"/>
                <w:sz w:val="18"/>
                <w:szCs w:val="20"/>
                <w:lang w:val="en-GB"/>
              </w:rPr>
            </w:pPr>
            <w:r w:rsidRPr="00951F3B">
              <w:rPr>
                <w:rFonts w:ascii="Times New Roman" w:eastAsia="Calibri" w:hAnsi="Times New Roman"/>
                <w:sz w:val="18"/>
                <w:szCs w:val="20"/>
                <w:lang w:val="en-GB"/>
              </w:rPr>
              <w:t>18.6</w:t>
            </w:r>
          </w:p>
        </w:tc>
      </w:tr>
    </w:tbl>
    <w:p w:rsidR="009951C6" w:rsidRPr="00951F3B" w:rsidRDefault="009951C6" w:rsidP="00280083">
      <w:pPr>
        <w:spacing w:line="480" w:lineRule="auto"/>
        <w:ind w:left="1070"/>
        <w:jc w:val="both"/>
        <w:rPr>
          <w:sz w:val="20"/>
          <w:lang w:val="en-GB"/>
        </w:rPr>
      </w:pPr>
      <w:r w:rsidRPr="00951F3B">
        <w:rPr>
          <w:sz w:val="20"/>
          <w:lang w:val="en-GB"/>
        </w:rPr>
        <w:t>n.</w:t>
      </w:r>
      <w:r w:rsidR="00FD7220" w:rsidRPr="00951F3B">
        <w:rPr>
          <w:sz w:val="20"/>
          <w:lang w:val="en-GB"/>
        </w:rPr>
        <w:t>d</w:t>
      </w:r>
      <w:r w:rsidRPr="00951F3B">
        <w:rPr>
          <w:sz w:val="20"/>
          <w:lang w:val="en-GB"/>
        </w:rPr>
        <w:t xml:space="preserve">.: not </w:t>
      </w:r>
      <w:r w:rsidR="00FD7220" w:rsidRPr="00951F3B">
        <w:rPr>
          <w:sz w:val="20"/>
          <w:lang w:val="en-GB"/>
        </w:rPr>
        <w:t>detected (below LOD)</w:t>
      </w:r>
    </w:p>
    <w:p w:rsidR="009951C6" w:rsidRPr="00951F3B" w:rsidRDefault="009951C6" w:rsidP="00280083">
      <w:pPr>
        <w:spacing w:line="480" w:lineRule="auto"/>
        <w:ind w:left="1070"/>
        <w:jc w:val="both"/>
        <w:rPr>
          <w:sz w:val="20"/>
          <w:lang w:val="en-GB"/>
        </w:rPr>
      </w:pPr>
    </w:p>
    <w:p w:rsidR="009951C6" w:rsidRPr="00951F3B" w:rsidRDefault="009951C6" w:rsidP="00280083">
      <w:pPr>
        <w:spacing w:line="480" w:lineRule="auto"/>
        <w:ind w:left="1070"/>
        <w:jc w:val="both"/>
        <w:rPr>
          <w:i/>
          <w:lang w:val="en-GB"/>
        </w:rPr>
      </w:pPr>
      <w:r w:rsidRPr="00951F3B">
        <w:rPr>
          <w:i/>
          <w:lang w:val="en-GB"/>
        </w:rPr>
        <w:t>TBT</w:t>
      </w:r>
    </w:p>
    <w:p w:rsidR="009951C6" w:rsidRPr="00951F3B" w:rsidRDefault="009951C6" w:rsidP="00280083">
      <w:pPr>
        <w:spacing w:line="480" w:lineRule="auto"/>
        <w:jc w:val="both"/>
        <w:rPr>
          <w:lang w:val="en-GB"/>
        </w:rPr>
      </w:pPr>
      <w:r w:rsidRPr="00951F3B">
        <w:rPr>
          <w:lang w:val="en-GB"/>
        </w:rPr>
        <w:t xml:space="preserve">In </w:t>
      </w:r>
      <w:r w:rsidR="0061433F">
        <w:rPr>
          <w:lang w:val="en-GB"/>
        </w:rPr>
        <w:t>T</w:t>
      </w:r>
      <w:r w:rsidR="0061433F" w:rsidRPr="00951F3B">
        <w:rPr>
          <w:lang w:val="en-GB"/>
        </w:rPr>
        <w:t xml:space="preserve">able </w:t>
      </w:r>
      <w:r w:rsidRPr="00951F3B">
        <w:rPr>
          <w:lang w:val="en-GB"/>
        </w:rPr>
        <w:t>4</w:t>
      </w:r>
      <w:r w:rsidR="00050B4E">
        <w:rPr>
          <w:lang w:val="en-GB"/>
        </w:rPr>
        <w:t>,</w:t>
      </w:r>
      <w:r w:rsidRPr="00951F3B">
        <w:rPr>
          <w:lang w:val="en-GB"/>
        </w:rPr>
        <w:t xml:space="preserve"> calculated TWMs of </w:t>
      </w:r>
      <w:r w:rsidR="00050B4E">
        <w:rPr>
          <w:lang w:val="en-GB"/>
        </w:rPr>
        <w:t>measured</w:t>
      </w:r>
      <w:r w:rsidRPr="00951F3B">
        <w:rPr>
          <w:lang w:val="en-GB"/>
        </w:rPr>
        <w:t xml:space="preserve"> TBT </w:t>
      </w:r>
      <w:r w:rsidR="00050B4E">
        <w:rPr>
          <w:lang w:val="en-GB"/>
        </w:rPr>
        <w:t>concentrations</w:t>
      </w:r>
      <w:r w:rsidR="00050B4E" w:rsidRPr="00951F3B">
        <w:rPr>
          <w:lang w:val="en-GB"/>
        </w:rPr>
        <w:t xml:space="preserve"> </w:t>
      </w:r>
      <w:r w:rsidRPr="00951F3B">
        <w:rPr>
          <w:lang w:val="en-GB"/>
        </w:rPr>
        <w:t xml:space="preserve">are shown. </w:t>
      </w:r>
      <w:r w:rsidR="00050B4E" w:rsidRPr="00951F3B">
        <w:rPr>
          <w:lang w:val="en-GB"/>
        </w:rPr>
        <w:t>In the solvent controls no TBT was detected.</w:t>
      </w:r>
      <w:r w:rsidR="00050B4E">
        <w:rPr>
          <w:lang w:val="en-GB"/>
        </w:rPr>
        <w:t xml:space="preserve"> </w:t>
      </w:r>
      <w:r w:rsidRPr="00951F3B">
        <w:rPr>
          <w:lang w:val="en-GB"/>
        </w:rPr>
        <w:t xml:space="preserve">In most laboratories TWMs were below nominal concentrations. The average TWM concentration was 44.2% </w:t>
      </w:r>
      <w:r w:rsidR="00FD7220" w:rsidRPr="00951F3B">
        <w:rPr>
          <w:lang w:val="en-GB"/>
        </w:rPr>
        <w:t xml:space="preserve">of nominals </w:t>
      </w:r>
      <w:r w:rsidRPr="00951F3B">
        <w:rPr>
          <w:lang w:val="en-GB"/>
        </w:rPr>
        <w:t xml:space="preserve">and values varied between 10.1% and 121%. Initial concentration varied between 6.31% and 285% whereas measured concentrations of old samples varied between 1.79% and 299%. </w:t>
      </w:r>
      <w:r w:rsidR="00050B4E" w:rsidRPr="00050B4E">
        <w:rPr>
          <w:lang w:val="en-GB"/>
        </w:rPr>
        <w:t>Therefore</w:t>
      </w:r>
      <w:r w:rsidR="00050B4E">
        <w:rPr>
          <w:lang w:val="en-GB"/>
        </w:rPr>
        <w:t>,</w:t>
      </w:r>
      <w:r w:rsidR="00050B4E" w:rsidRPr="00050B4E">
        <w:rPr>
          <w:lang w:val="en-GB"/>
        </w:rPr>
        <w:t xml:space="preserve"> TWMs were used to calculate effect concentrations.</w:t>
      </w:r>
      <w:r w:rsidR="00050B4E">
        <w:rPr>
          <w:lang w:val="en-GB"/>
        </w:rPr>
        <w:t xml:space="preserve"> </w:t>
      </w:r>
      <w:r w:rsidRPr="00951F3B">
        <w:rPr>
          <w:lang w:val="en-GB"/>
        </w:rPr>
        <w:t xml:space="preserve">More detailed information on the actual exposure concentrations of each </w:t>
      </w:r>
      <w:r w:rsidR="00050B4E">
        <w:rPr>
          <w:lang w:val="en-GB"/>
        </w:rPr>
        <w:t>participating</w:t>
      </w:r>
      <w:r w:rsidR="00050B4E" w:rsidRPr="00951F3B">
        <w:rPr>
          <w:lang w:val="en-GB"/>
        </w:rPr>
        <w:t xml:space="preserve"> </w:t>
      </w:r>
      <w:r w:rsidRPr="00951F3B">
        <w:rPr>
          <w:lang w:val="en-GB"/>
        </w:rPr>
        <w:t xml:space="preserve">laboratory can be found in the </w:t>
      </w:r>
      <w:r w:rsidR="00586359" w:rsidRPr="00951F3B">
        <w:rPr>
          <w:lang w:val="en-GB"/>
        </w:rPr>
        <w:t>Supporting Information</w:t>
      </w:r>
      <w:r w:rsidRPr="00951F3B">
        <w:rPr>
          <w:lang w:val="en-GB"/>
        </w:rPr>
        <w:t>.</w:t>
      </w:r>
    </w:p>
    <w:p w:rsidR="009951C6" w:rsidRPr="00951F3B" w:rsidRDefault="009951C6" w:rsidP="00280083">
      <w:pPr>
        <w:spacing w:line="480" w:lineRule="auto"/>
        <w:jc w:val="both"/>
        <w:rPr>
          <w:lang w:val="en-GB"/>
        </w:rPr>
      </w:pPr>
    </w:p>
    <w:p w:rsidR="009951C6" w:rsidRPr="00951F3B" w:rsidRDefault="009951C6" w:rsidP="00280083">
      <w:pPr>
        <w:spacing w:line="480" w:lineRule="auto"/>
        <w:jc w:val="both"/>
        <w:rPr>
          <w:sz w:val="20"/>
          <w:szCs w:val="20"/>
          <w:lang w:val="en-GB"/>
        </w:rPr>
      </w:pPr>
      <w:r w:rsidRPr="00951F3B">
        <w:rPr>
          <w:sz w:val="20"/>
          <w:szCs w:val="20"/>
          <w:lang w:val="en-GB"/>
        </w:rPr>
        <w:t xml:space="preserve">Table 4: Time weighted mean </w:t>
      </w:r>
      <w:r w:rsidR="00FD7220" w:rsidRPr="00951F3B">
        <w:rPr>
          <w:sz w:val="20"/>
          <w:szCs w:val="20"/>
          <w:lang w:val="en-GB"/>
        </w:rPr>
        <w:t xml:space="preserve">concentrations </w:t>
      </w:r>
      <w:r w:rsidRPr="00951F3B">
        <w:rPr>
          <w:sz w:val="20"/>
          <w:szCs w:val="20"/>
          <w:lang w:val="en-GB"/>
        </w:rPr>
        <w:t>of TBT in validation II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609"/>
        <w:gridCol w:w="609"/>
        <w:gridCol w:w="609"/>
        <w:gridCol w:w="609"/>
        <w:gridCol w:w="609"/>
        <w:gridCol w:w="609"/>
        <w:gridCol w:w="609"/>
      </w:tblGrid>
      <w:tr w:rsidR="009951C6" w:rsidRPr="000962C6" w:rsidTr="00280083">
        <w:trPr>
          <w:trHeight w:val="287"/>
        </w:trPr>
        <w:tc>
          <w:tcPr>
            <w:tcW w:w="1570" w:type="dxa"/>
            <w:vMerge w:val="restart"/>
            <w:tcBorders>
              <w:left w:val="nil"/>
              <w:right w:val="nil"/>
              <w:tl2br w:val="nil"/>
            </w:tcBorders>
            <w:shd w:val="clear" w:color="auto" w:fill="auto"/>
          </w:tcPr>
          <w:p w:rsidR="009951C6" w:rsidRPr="000962C6" w:rsidRDefault="009951C6" w:rsidP="00280083">
            <w:pPr>
              <w:spacing w:before="120"/>
              <w:jc w:val="center"/>
              <w:rPr>
                <w:rFonts w:eastAsia="Calibri"/>
                <w:sz w:val="18"/>
                <w:szCs w:val="18"/>
              </w:rPr>
            </w:pPr>
            <w:r w:rsidRPr="000962C6">
              <w:rPr>
                <w:rFonts w:eastAsia="Calibri"/>
                <w:sz w:val="18"/>
                <w:szCs w:val="18"/>
              </w:rPr>
              <w:t>Nominal concentration</w:t>
            </w:r>
          </w:p>
          <w:p w:rsidR="00B61A3A" w:rsidRPr="000962C6" w:rsidRDefault="00B61A3A" w:rsidP="00280083">
            <w:pPr>
              <w:spacing w:before="120"/>
              <w:jc w:val="center"/>
              <w:rPr>
                <w:rFonts w:eastAsia="Calibri"/>
                <w:sz w:val="18"/>
                <w:szCs w:val="18"/>
              </w:rPr>
            </w:pPr>
            <w:r w:rsidRPr="000962C6">
              <w:rPr>
                <w:rFonts w:eastAsia="Calibri"/>
                <w:sz w:val="18"/>
                <w:szCs w:val="18"/>
              </w:rPr>
              <w:t>[ng TBT-Sn</w:t>
            </w:r>
            <w:r w:rsidR="007526B3" w:rsidRPr="000962C6">
              <w:rPr>
                <w:rFonts w:eastAsia="Calibri"/>
                <w:sz w:val="18"/>
                <w:szCs w:val="18"/>
              </w:rPr>
              <w:t>/L</w:t>
            </w:r>
            <w:r w:rsidRPr="000962C6">
              <w:rPr>
                <w:rFonts w:eastAsia="Calibri"/>
                <w:sz w:val="18"/>
                <w:szCs w:val="18"/>
              </w:rPr>
              <w:t>]</w:t>
            </w:r>
          </w:p>
        </w:tc>
        <w:tc>
          <w:tcPr>
            <w:tcW w:w="4263" w:type="dxa"/>
            <w:gridSpan w:val="7"/>
            <w:tcBorders>
              <w:left w:val="nil"/>
              <w:bottom w:val="nil"/>
              <w:right w:val="nil"/>
            </w:tcBorders>
            <w:shd w:val="clear" w:color="auto" w:fill="auto"/>
          </w:tcPr>
          <w:p w:rsidR="009951C6" w:rsidRDefault="009951C6" w:rsidP="00280083">
            <w:pPr>
              <w:spacing w:before="120" w:after="60"/>
              <w:jc w:val="center"/>
              <w:rPr>
                <w:rFonts w:eastAsia="Calibri"/>
                <w:sz w:val="18"/>
                <w:szCs w:val="18"/>
                <w:lang w:val="en-GB"/>
              </w:rPr>
            </w:pPr>
            <w:r w:rsidRPr="00951F3B">
              <w:rPr>
                <w:rFonts w:eastAsia="Calibri"/>
                <w:sz w:val="18"/>
                <w:szCs w:val="18"/>
                <w:lang w:val="en-GB"/>
              </w:rPr>
              <w:t>Laboratories</w:t>
            </w:r>
          </w:p>
          <w:p w:rsidR="00B61A3A" w:rsidRPr="00951F3B" w:rsidRDefault="00B61A3A" w:rsidP="00280083">
            <w:pPr>
              <w:spacing w:before="120" w:after="60"/>
              <w:jc w:val="center"/>
              <w:rPr>
                <w:rFonts w:eastAsia="Calibri"/>
                <w:sz w:val="18"/>
                <w:szCs w:val="18"/>
                <w:lang w:val="en-GB"/>
              </w:rPr>
            </w:pPr>
            <w:r>
              <w:rPr>
                <w:rFonts w:eastAsia="Calibri"/>
                <w:sz w:val="18"/>
                <w:szCs w:val="18"/>
                <w:lang w:val="en-GB"/>
              </w:rPr>
              <w:t>Measured concentration [ng TBT-Sn/L]</w:t>
            </w:r>
          </w:p>
        </w:tc>
      </w:tr>
      <w:tr w:rsidR="009951C6" w:rsidRPr="00951F3B" w:rsidTr="00280083">
        <w:trPr>
          <w:trHeight w:val="75"/>
        </w:trPr>
        <w:tc>
          <w:tcPr>
            <w:tcW w:w="1570" w:type="dxa"/>
            <w:vMerge/>
            <w:tcBorders>
              <w:left w:val="nil"/>
              <w:bottom w:val="single" w:sz="4" w:space="0" w:color="auto"/>
              <w:tl2br w:val="nil"/>
            </w:tcBorders>
            <w:shd w:val="clear" w:color="auto" w:fill="auto"/>
          </w:tcPr>
          <w:p w:rsidR="009951C6" w:rsidRPr="00951F3B" w:rsidRDefault="009951C6" w:rsidP="00280083">
            <w:pPr>
              <w:jc w:val="center"/>
              <w:rPr>
                <w:rFonts w:eastAsia="Calibri"/>
                <w:sz w:val="18"/>
                <w:szCs w:val="18"/>
                <w:lang w:val="en-GB"/>
              </w:rPr>
            </w:pPr>
          </w:p>
        </w:tc>
        <w:tc>
          <w:tcPr>
            <w:tcW w:w="609"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2Aa</w:t>
            </w:r>
          </w:p>
        </w:tc>
        <w:tc>
          <w:tcPr>
            <w:tcW w:w="609"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2Ab</w:t>
            </w:r>
          </w:p>
        </w:tc>
        <w:tc>
          <w:tcPr>
            <w:tcW w:w="609"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2E</w:t>
            </w:r>
          </w:p>
        </w:tc>
        <w:tc>
          <w:tcPr>
            <w:tcW w:w="609"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2F</w:t>
            </w:r>
          </w:p>
        </w:tc>
        <w:tc>
          <w:tcPr>
            <w:tcW w:w="609"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2G</w:t>
            </w:r>
          </w:p>
        </w:tc>
        <w:tc>
          <w:tcPr>
            <w:tcW w:w="609"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2H</w:t>
            </w:r>
          </w:p>
        </w:tc>
        <w:tc>
          <w:tcPr>
            <w:tcW w:w="609" w:type="dxa"/>
            <w:tcBorders>
              <w:top w:val="nil"/>
              <w:bottom w:val="single" w:sz="4" w:space="0" w:color="auto"/>
              <w:right w:val="nil"/>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2I</w:t>
            </w:r>
          </w:p>
        </w:tc>
      </w:tr>
      <w:tr w:rsidR="009951C6" w:rsidRPr="00951F3B" w:rsidTr="00280083">
        <w:trPr>
          <w:trHeight w:val="284"/>
        </w:trPr>
        <w:tc>
          <w:tcPr>
            <w:tcW w:w="1570" w:type="dxa"/>
            <w:tcBorders>
              <w:left w:val="nil"/>
              <w:bottom w:val="nil"/>
            </w:tcBorders>
            <w:shd w:val="clear" w:color="auto" w:fill="auto"/>
          </w:tcPr>
          <w:p w:rsidR="009951C6" w:rsidRPr="00951F3B" w:rsidRDefault="009951C6" w:rsidP="00280083">
            <w:pPr>
              <w:spacing w:before="60"/>
              <w:jc w:val="center"/>
              <w:rPr>
                <w:rFonts w:eastAsia="Calibri"/>
                <w:sz w:val="18"/>
                <w:szCs w:val="18"/>
                <w:lang w:val="en-GB"/>
              </w:rPr>
            </w:pPr>
            <w:r w:rsidRPr="00951F3B">
              <w:rPr>
                <w:rFonts w:eastAsia="Calibri"/>
                <w:sz w:val="18"/>
                <w:szCs w:val="18"/>
                <w:lang w:val="en-GB"/>
              </w:rPr>
              <w:t>Solvent control</w:t>
            </w:r>
          </w:p>
        </w:tc>
        <w:tc>
          <w:tcPr>
            <w:tcW w:w="609" w:type="dxa"/>
            <w:tcBorders>
              <w:bottom w:val="nil"/>
            </w:tcBorders>
            <w:shd w:val="clear" w:color="auto" w:fill="auto"/>
          </w:tcPr>
          <w:p w:rsidR="009951C6" w:rsidRPr="00951F3B" w:rsidRDefault="009951C6" w:rsidP="00FD7220">
            <w:pPr>
              <w:spacing w:before="60"/>
              <w:jc w:val="center"/>
              <w:rPr>
                <w:color w:val="000000"/>
                <w:sz w:val="18"/>
                <w:szCs w:val="18"/>
                <w:lang w:val="en-GB" w:eastAsia="en-GB"/>
              </w:rPr>
            </w:pPr>
            <w:r w:rsidRPr="00951F3B">
              <w:rPr>
                <w:color w:val="000000"/>
                <w:sz w:val="18"/>
                <w:szCs w:val="18"/>
                <w:lang w:val="en-GB" w:eastAsia="en-GB"/>
              </w:rPr>
              <w:t>n.</w:t>
            </w:r>
            <w:r w:rsidR="00FD7220" w:rsidRPr="00951F3B">
              <w:rPr>
                <w:color w:val="000000"/>
                <w:sz w:val="18"/>
                <w:szCs w:val="18"/>
                <w:lang w:val="en-GB" w:eastAsia="en-GB"/>
              </w:rPr>
              <w:t>d</w:t>
            </w:r>
            <w:r w:rsidRPr="00951F3B">
              <w:rPr>
                <w:color w:val="000000"/>
                <w:sz w:val="18"/>
                <w:szCs w:val="18"/>
                <w:lang w:val="en-GB" w:eastAsia="en-GB"/>
              </w:rPr>
              <w:t>.</w:t>
            </w:r>
          </w:p>
        </w:tc>
        <w:tc>
          <w:tcPr>
            <w:tcW w:w="609" w:type="dxa"/>
            <w:tcBorders>
              <w:bottom w:val="nil"/>
            </w:tcBorders>
            <w:shd w:val="clear" w:color="auto" w:fill="auto"/>
          </w:tcPr>
          <w:p w:rsidR="009951C6" w:rsidRPr="00951F3B" w:rsidRDefault="009951C6" w:rsidP="00FD7220">
            <w:pPr>
              <w:spacing w:before="60"/>
              <w:jc w:val="center"/>
              <w:rPr>
                <w:color w:val="000000"/>
                <w:sz w:val="18"/>
                <w:szCs w:val="18"/>
                <w:lang w:val="en-GB" w:eastAsia="en-GB"/>
              </w:rPr>
            </w:pPr>
            <w:r w:rsidRPr="00951F3B">
              <w:rPr>
                <w:color w:val="000000"/>
                <w:sz w:val="18"/>
                <w:szCs w:val="18"/>
                <w:lang w:val="en-GB" w:eastAsia="en-GB"/>
              </w:rPr>
              <w:t>n.</w:t>
            </w:r>
            <w:r w:rsidR="00FD7220" w:rsidRPr="00951F3B">
              <w:rPr>
                <w:color w:val="000000"/>
                <w:sz w:val="18"/>
                <w:szCs w:val="18"/>
                <w:lang w:val="en-GB" w:eastAsia="en-GB"/>
              </w:rPr>
              <w:t>d</w:t>
            </w:r>
            <w:r w:rsidRPr="00951F3B">
              <w:rPr>
                <w:color w:val="000000"/>
                <w:sz w:val="18"/>
                <w:szCs w:val="18"/>
                <w:lang w:val="en-GB" w:eastAsia="en-GB"/>
              </w:rPr>
              <w:t>.</w:t>
            </w:r>
          </w:p>
        </w:tc>
        <w:tc>
          <w:tcPr>
            <w:tcW w:w="609" w:type="dxa"/>
            <w:tcBorders>
              <w:bottom w:val="nil"/>
            </w:tcBorders>
            <w:shd w:val="clear" w:color="auto" w:fill="auto"/>
          </w:tcPr>
          <w:p w:rsidR="009951C6" w:rsidRPr="00951F3B" w:rsidRDefault="009951C6" w:rsidP="00FD7220">
            <w:pPr>
              <w:spacing w:before="60"/>
              <w:jc w:val="center"/>
              <w:rPr>
                <w:color w:val="000000"/>
                <w:sz w:val="18"/>
                <w:szCs w:val="18"/>
                <w:lang w:val="en-GB" w:eastAsia="en-GB"/>
              </w:rPr>
            </w:pPr>
            <w:r w:rsidRPr="00951F3B">
              <w:rPr>
                <w:color w:val="000000"/>
                <w:sz w:val="18"/>
                <w:szCs w:val="18"/>
                <w:lang w:val="en-GB" w:eastAsia="en-GB"/>
              </w:rPr>
              <w:t>n.</w:t>
            </w:r>
            <w:r w:rsidR="00FD7220" w:rsidRPr="00951F3B">
              <w:rPr>
                <w:color w:val="000000"/>
                <w:sz w:val="18"/>
                <w:szCs w:val="18"/>
                <w:lang w:val="en-GB" w:eastAsia="en-GB"/>
              </w:rPr>
              <w:t>d</w:t>
            </w:r>
            <w:r w:rsidRPr="00951F3B">
              <w:rPr>
                <w:color w:val="000000"/>
                <w:sz w:val="18"/>
                <w:szCs w:val="18"/>
                <w:lang w:val="en-GB" w:eastAsia="en-GB"/>
              </w:rPr>
              <w:t>.</w:t>
            </w:r>
          </w:p>
        </w:tc>
        <w:tc>
          <w:tcPr>
            <w:tcW w:w="609" w:type="dxa"/>
            <w:tcBorders>
              <w:bottom w:val="nil"/>
            </w:tcBorders>
            <w:shd w:val="clear" w:color="auto" w:fill="auto"/>
          </w:tcPr>
          <w:p w:rsidR="009951C6" w:rsidRPr="00951F3B" w:rsidRDefault="009951C6" w:rsidP="00FD7220">
            <w:pPr>
              <w:spacing w:before="60"/>
              <w:jc w:val="center"/>
              <w:rPr>
                <w:color w:val="000000"/>
                <w:sz w:val="18"/>
                <w:szCs w:val="18"/>
                <w:lang w:val="en-GB" w:eastAsia="en-GB"/>
              </w:rPr>
            </w:pPr>
            <w:r w:rsidRPr="00951F3B">
              <w:rPr>
                <w:color w:val="000000"/>
                <w:sz w:val="18"/>
                <w:szCs w:val="18"/>
                <w:lang w:val="en-GB" w:eastAsia="en-GB"/>
              </w:rPr>
              <w:t>n.</w:t>
            </w:r>
            <w:r w:rsidR="00FD7220" w:rsidRPr="00951F3B">
              <w:rPr>
                <w:color w:val="000000"/>
                <w:sz w:val="18"/>
                <w:szCs w:val="18"/>
                <w:lang w:val="en-GB" w:eastAsia="en-GB"/>
              </w:rPr>
              <w:t>d</w:t>
            </w:r>
            <w:r w:rsidRPr="00951F3B">
              <w:rPr>
                <w:color w:val="000000"/>
                <w:sz w:val="18"/>
                <w:szCs w:val="18"/>
                <w:lang w:val="en-GB" w:eastAsia="en-GB"/>
              </w:rPr>
              <w:t>.</w:t>
            </w:r>
          </w:p>
        </w:tc>
        <w:tc>
          <w:tcPr>
            <w:tcW w:w="609" w:type="dxa"/>
            <w:tcBorders>
              <w:bottom w:val="nil"/>
            </w:tcBorders>
            <w:shd w:val="clear" w:color="auto" w:fill="auto"/>
          </w:tcPr>
          <w:p w:rsidR="009951C6" w:rsidRPr="00951F3B" w:rsidRDefault="009951C6" w:rsidP="00FD7220">
            <w:pPr>
              <w:pStyle w:val="NoSpacing"/>
              <w:spacing w:before="60"/>
              <w:jc w:val="center"/>
              <w:rPr>
                <w:rFonts w:ascii="Times New Roman" w:eastAsia="Calibri" w:hAnsi="Times New Roman"/>
                <w:sz w:val="18"/>
                <w:szCs w:val="18"/>
                <w:lang w:val="en-GB"/>
              </w:rPr>
            </w:pPr>
            <w:r w:rsidRPr="00951F3B">
              <w:rPr>
                <w:rFonts w:ascii="Times New Roman" w:eastAsia="Calibri" w:hAnsi="Times New Roman"/>
                <w:sz w:val="18"/>
                <w:szCs w:val="18"/>
                <w:lang w:val="en-GB"/>
              </w:rPr>
              <w:t>n.</w:t>
            </w:r>
            <w:r w:rsidR="00FD7220" w:rsidRPr="00951F3B">
              <w:rPr>
                <w:rFonts w:ascii="Times New Roman" w:eastAsia="Calibri" w:hAnsi="Times New Roman"/>
                <w:sz w:val="18"/>
                <w:szCs w:val="18"/>
                <w:lang w:val="en-GB"/>
              </w:rPr>
              <w:t>d</w:t>
            </w:r>
            <w:r w:rsidRPr="00951F3B">
              <w:rPr>
                <w:rFonts w:ascii="Times New Roman" w:eastAsia="Calibri" w:hAnsi="Times New Roman"/>
                <w:sz w:val="18"/>
                <w:szCs w:val="18"/>
                <w:lang w:val="en-GB"/>
              </w:rPr>
              <w:t>.</w:t>
            </w:r>
          </w:p>
        </w:tc>
        <w:tc>
          <w:tcPr>
            <w:tcW w:w="609" w:type="dxa"/>
            <w:tcBorders>
              <w:bottom w:val="nil"/>
            </w:tcBorders>
            <w:shd w:val="clear" w:color="auto" w:fill="auto"/>
          </w:tcPr>
          <w:p w:rsidR="009951C6" w:rsidRPr="00951F3B" w:rsidRDefault="009951C6" w:rsidP="00FD7220">
            <w:pPr>
              <w:pStyle w:val="NoSpacing"/>
              <w:spacing w:before="60"/>
              <w:jc w:val="center"/>
              <w:rPr>
                <w:rFonts w:ascii="Times New Roman" w:eastAsia="Calibri" w:hAnsi="Times New Roman"/>
                <w:sz w:val="18"/>
                <w:szCs w:val="18"/>
                <w:lang w:val="en-GB"/>
              </w:rPr>
            </w:pPr>
            <w:r w:rsidRPr="00951F3B">
              <w:rPr>
                <w:rFonts w:ascii="Times New Roman" w:eastAsia="Calibri" w:hAnsi="Times New Roman"/>
                <w:sz w:val="18"/>
                <w:szCs w:val="18"/>
                <w:lang w:val="en-GB"/>
              </w:rPr>
              <w:t>n.</w:t>
            </w:r>
            <w:r w:rsidR="00FD7220" w:rsidRPr="00951F3B">
              <w:rPr>
                <w:rFonts w:ascii="Times New Roman" w:eastAsia="Calibri" w:hAnsi="Times New Roman"/>
                <w:sz w:val="18"/>
                <w:szCs w:val="18"/>
                <w:lang w:val="en-GB"/>
              </w:rPr>
              <w:t>d</w:t>
            </w:r>
            <w:r w:rsidRPr="00951F3B">
              <w:rPr>
                <w:rFonts w:ascii="Times New Roman" w:eastAsia="Calibri" w:hAnsi="Times New Roman"/>
                <w:sz w:val="18"/>
                <w:szCs w:val="18"/>
                <w:lang w:val="en-GB"/>
              </w:rPr>
              <w:t>.</w:t>
            </w:r>
          </w:p>
        </w:tc>
        <w:tc>
          <w:tcPr>
            <w:tcW w:w="609" w:type="dxa"/>
            <w:tcBorders>
              <w:bottom w:val="nil"/>
              <w:right w:val="nil"/>
            </w:tcBorders>
            <w:shd w:val="clear" w:color="auto" w:fill="auto"/>
          </w:tcPr>
          <w:p w:rsidR="009951C6" w:rsidRPr="00951F3B" w:rsidRDefault="009951C6" w:rsidP="00FD7220">
            <w:pPr>
              <w:pStyle w:val="NoSpacing"/>
              <w:spacing w:before="60"/>
              <w:jc w:val="center"/>
              <w:rPr>
                <w:rFonts w:ascii="Times New Roman" w:eastAsia="Calibri" w:hAnsi="Times New Roman"/>
                <w:sz w:val="18"/>
                <w:szCs w:val="18"/>
                <w:lang w:val="en-GB"/>
              </w:rPr>
            </w:pPr>
            <w:r w:rsidRPr="00951F3B">
              <w:rPr>
                <w:rFonts w:ascii="Times New Roman" w:eastAsia="Calibri" w:hAnsi="Times New Roman"/>
                <w:sz w:val="18"/>
                <w:szCs w:val="18"/>
                <w:lang w:val="en-GB"/>
              </w:rPr>
              <w:t>n.</w:t>
            </w:r>
            <w:r w:rsidR="00FD7220" w:rsidRPr="00951F3B">
              <w:rPr>
                <w:rFonts w:ascii="Times New Roman" w:eastAsia="Calibri" w:hAnsi="Times New Roman"/>
                <w:sz w:val="18"/>
                <w:szCs w:val="18"/>
                <w:lang w:val="en-GB"/>
              </w:rPr>
              <w:t>d</w:t>
            </w:r>
            <w:r w:rsidRPr="00951F3B">
              <w:rPr>
                <w:rFonts w:ascii="Times New Roman" w:eastAsia="Calibri" w:hAnsi="Times New Roman"/>
                <w:sz w:val="18"/>
                <w:szCs w:val="18"/>
                <w:lang w:val="en-GB"/>
              </w:rPr>
              <w:t>.</w:t>
            </w:r>
          </w:p>
        </w:tc>
      </w:tr>
      <w:tr w:rsidR="009951C6" w:rsidRPr="00951F3B" w:rsidTr="00280083">
        <w:trPr>
          <w:trHeight w:val="284"/>
        </w:trPr>
        <w:tc>
          <w:tcPr>
            <w:tcW w:w="1570" w:type="dxa"/>
            <w:tcBorders>
              <w:top w:val="nil"/>
              <w:left w:val="nil"/>
              <w:bottom w:val="nil"/>
            </w:tcBorders>
            <w:shd w:val="clear" w:color="auto" w:fill="auto"/>
          </w:tcPr>
          <w:p w:rsidR="009951C6" w:rsidRPr="00951F3B" w:rsidRDefault="009951C6" w:rsidP="007526B3">
            <w:pPr>
              <w:jc w:val="center"/>
              <w:rPr>
                <w:rFonts w:eastAsia="Calibri"/>
                <w:sz w:val="18"/>
                <w:szCs w:val="18"/>
                <w:lang w:val="en-GB"/>
              </w:rPr>
            </w:pPr>
            <w:r w:rsidRPr="00951F3B">
              <w:rPr>
                <w:rFonts w:eastAsia="Calibri"/>
                <w:sz w:val="18"/>
                <w:szCs w:val="18"/>
                <w:lang w:val="en-GB"/>
              </w:rPr>
              <w:t>10</w:t>
            </w:r>
          </w:p>
        </w:tc>
        <w:tc>
          <w:tcPr>
            <w:tcW w:w="609" w:type="dxa"/>
            <w:tcBorders>
              <w:top w:val="nil"/>
              <w:bottom w:val="nil"/>
            </w:tcBorders>
            <w:shd w:val="clear" w:color="auto" w:fill="auto"/>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4.11</w:t>
            </w:r>
          </w:p>
        </w:tc>
        <w:tc>
          <w:tcPr>
            <w:tcW w:w="609" w:type="dxa"/>
            <w:tcBorders>
              <w:top w:val="nil"/>
              <w:bottom w:val="nil"/>
            </w:tcBorders>
            <w:shd w:val="clear" w:color="auto" w:fill="auto"/>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n.t.</w:t>
            </w:r>
          </w:p>
        </w:tc>
        <w:tc>
          <w:tcPr>
            <w:tcW w:w="609" w:type="dxa"/>
            <w:tcBorders>
              <w:top w:val="nil"/>
              <w:bottom w:val="nil"/>
            </w:tcBorders>
            <w:shd w:val="clear" w:color="auto" w:fill="auto"/>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5.40</w:t>
            </w:r>
          </w:p>
        </w:tc>
        <w:tc>
          <w:tcPr>
            <w:tcW w:w="609" w:type="dxa"/>
            <w:tcBorders>
              <w:top w:val="nil"/>
              <w:bottom w:val="nil"/>
            </w:tcBorders>
            <w:shd w:val="clear" w:color="auto" w:fill="auto"/>
          </w:tcPr>
          <w:p w:rsidR="009951C6" w:rsidRPr="00951F3B" w:rsidRDefault="009951C6" w:rsidP="00280083">
            <w:pPr>
              <w:jc w:val="center"/>
              <w:rPr>
                <w:rFonts w:eastAsia="Calibri"/>
                <w:bCs/>
                <w:sz w:val="18"/>
                <w:szCs w:val="18"/>
                <w:lang w:val="en-GB"/>
              </w:rPr>
            </w:pPr>
            <w:r w:rsidRPr="00951F3B">
              <w:rPr>
                <w:rFonts w:eastAsia="Calibri"/>
                <w:bCs/>
                <w:sz w:val="18"/>
                <w:szCs w:val="18"/>
                <w:lang w:val="en-GB"/>
              </w:rPr>
              <w:t>2.61</w:t>
            </w:r>
          </w:p>
        </w:tc>
        <w:tc>
          <w:tcPr>
            <w:tcW w:w="609" w:type="dxa"/>
            <w:tcBorders>
              <w:top w:val="nil"/>
              <w:bottom w:val="nil"/>
            </w:tcBorders>
            <w:shd w:val="clear" w:color="auto" w:fill="auto"/>
          </w:tcPr>
          <w:p w:rsidR="009951C6" w:rsidRPr="00951F3B" w:rsidRDefault="009951C6" w:rsidP="00280083">
            <w:pPr>
              <w:jc w:val="center"/>
              <w:rPr>
                <w:rFonts w:eastAsia="Calibri"/>
                <w:bCs/>
                <w:sz w:val="18"/>
                <w:szCs w:val="18"/>
                <w:lang w:val="en-GB"/>
              </w:rPr>
            </w:pPr>
            <w:r w:rsidRPr="00951F3B">
              <w:rPr>
                <w:rFonts w:eastAsia="Calibri"/>
                <w:bCs/>
                <w:sz w:val="18"/>
                <w:szCs w:val="18"/>
                <w:lang w:val="en-GB"/>
              </w:rPr>
              <w:t>4.30</w:t>
            </w:r>
          </w:p>
        </w:tc>
        <w:tc>
          <w:tcPr>
            <w:tcW w:w="609" w:type="dxa"/>
            <w:tcBorders>
              <w:top w:val="nil"/>
              <w:bottom w:val="nil"/>
            </w:tcBorders>
            <w:shd w:val="clear" w:color="auto" w:fill="auto"/>
          </w:tcPr>
          <w:p w:rsidR="009951C6" w:rsidRPr="00951F3B" w:rsidRDefault="009951C6" w:rsidP="00280083">
            <w:pPr>
              <w:jc w:val="center"/>
              <w:rPr>
                <w:rFonts w:eastAsia="Calibri"/>
                <w:bCs/>
                <w:sz w:val="18"/>
                <w:szCs w:val="18"/>
                <w:lang w:val="en-GB"/>
              </w:rPr>
            </w:pPr>
            <w:r w:rsidRPr="00951F3B">
              <w:rPr>
                <w:rFonts w:eastAsia="Calibri"/>
                <w:bCs/>
                <w:sz w:val="18"/>
                <w:szCs w:val="18"/>
                <w:lang w:val="en-GB"/>
              </w:rPr>
              <w:t>3.04</w:t>
            </w:r>
          </w:p>
        </w:tc>
        <w:tc>
          <w:tcPr>
            <w:tcW w:w="609" w:type="dxa"/>
            <w:tcBorders>
              <w:top w:val="nil"/>
              <w:bottom w:val="nil"/>
              <w:right w:val="nil"/>
            </w:tcBorders>
            <w:shd w:val="clear" w:color="auto" w:fill="auto"/>
          </w:tcPr>
          <w:p w:rsidR="009951C6" w:rsidRPr="00951F3B" w:rsidRDefault="009951C6" w:rsidP="00280083">
            <w:pPr>
              <w:jc w:val="center"/>
              <w:rPr>
                <w:rFonts w:eastAsia="Calibri"/>
                <w:color w:val="000000"/>
                <w:sz w:val="18"/>
                <w:szCs w:val="18"/>
                <w:lang w:val="en-GB"/>
              </w:rPr>
            </w:pPr>
            <w:r w:rsidRPr="00951F3B">
              <w:rPr>
                <w:rFonts w:eastAsia="Calibri"/>
                <w:color w:val="000000"/>
                <w:sz w:val="18"/>
                <w:szCs w:val="18"/>
                <w:lang w:val="en-GB"/>
              </w:rPr>
              <w:t>6.39</w:t>
            </w:r>
          </w:p>
        </w:tc>
      </w:tr>
      <w:tr w:rsidR="009951C6" w:rsidRPr="00951F3B" w:rsidTr="00280083">
        <w:trPr>
          <w:trHeight w:val="284"/>
        </w:trPr>
        <w:tc>
          <w:tcPr>
            <w:tcW w:w="1570" w:type="dxa"/>
            <w:tcBorders>
              <w:top w:val="nil"/>
              <w:left w:val="nil"/>
              <w:bottom w:val="nil"/>
            </w:tcBorders>
            <w:shd w:val="clear" w:color="auto" w:fill="auto"/>
          </w:tcPr>
          <w:p w:rsidR="009951C6" w:rsidRPr="00951F3B" w:rsidRDefault="009951C6" w:rsidP="007526B3">
            <w:pPr>
              <w:jc w:val="center"/>
              <w:rPr>
                <w:rFonts w:eastAsia="Calibri"/>
                <w:sz w:val="18"/>
                <w:szCs w:val="18"/>
                <w:lang w:val="en-GB"/>
              </w:rPr>
            </w:pPr>
            <w:r w:rsidRPr="00951F3B">
              <w:rPr>
                <w:rFonts w:eastAsia="Calibri"/>
                <w:sz w:val="18"/>
                <w:szCs w:val="18"/>
                <w:lang w:val="en-GB"/>
              </w:rPr>
              <w:t>25</w:t>
            </w:r>
          </w:p>
        </w:tc>
        <w:tc>
          <w:tcPr>
            <w:tcW w:w="609" w:type="dxa"/>
            <w:tcBorders>
              <w:top w:val="nil"/>
              <w:bottom w:val="nil"/>
            </w:tcBorders>
            <w:shd w:val="clear" w:color="auto" w:fill="auto"/>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30.5</w:t>
            </w:r>
          </w:p>
        </w:tc>
        <w:tc>
          <w:tcPr>
            <w:tcW w:w="609" w:type="dxa"/>
            <w:tcBorders>
              <w:top w:val="nil"/>
              <w:bottom w:val="nil"/>
            </w:tcBorders>
            <w:shd w:val="clear" w:color="auto" w:fill="auto"/>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18.6</w:t>
            </w:r>
          </w:p>
        </w:tc>
        <w:tc>
          <w:tcPr>
            <w:tcW w:w="609" w:type="dxa"/>
            <w:tcBorders>
              <w:top w:val="nil"/>
              <w:bottom w:val="nil"/>
            </w:tcBorders>
            <w:shd w:val="clear" w:color="auto" w:fill="auto"/>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28.8</w:t>
            </w:r>
          </w:p>
        </w:tc>
        <w:tc>
          <w:tcPr>
            <w:tcW w:w="609" w:type="dxa"/>
            <w:tcBorders>
              <w:top w:val="nil"/>
              <w:bottom w:val="nil"/>
            </w:tcBorders>
            <w:shd w:val="clear" w:color="auto" w:fill="auto"/>
          </w:tcPr>
          <w:p w:rsidR="009951C6" w:rsidRPr="00951F3B" w:rsidRDefault="009951C6" w:rsidP="00280083">
            <w:pPr>
              <w:jc w:val="center"/>
              <w:rPr>
                <w:rFonts w:eastAsia="Calibri"/>
                <w:bCs/>
                <w:sz w:val="18"/>
                <w:szCs w:val="18"/>
                <w:lang w:val="en-GB"/>
              </w:rPr>
            </w:pPr>
            <w:r w:rsidRPr="00951F3B">
              <w:rPr>
                <w:rFonts w:eastAsia="Calibri"/>
                <w:bCs/>
                <w:sz w:val="18"/>
                <w:szCs w:val="18"/>
                <w:lang w:val="en-GB"/>
              </w:rPr>
              <w:t>4.66</w:t>
            </w:r>
          </w:p>
        </w:tc>
        <w:tc>
          <w:tcPr>
            <w:tcW w:w="609" w:type="dxa"/>
            <w:tcBorders>
              <w:top w:val="nil"/>
              <w:bottom w:val="nil"/>
            </w:tcBorders>
            <w:shd w:val="clear" w:color="auto" w:fill="auto"/>
          </w:tcPr>
          <w:p w:rsidR="009951C6" w:rsidRPr="00951F3B" w:rsidRDefault="009951C6" w:rsidP="00280083">
            <w:pPr>
              <w:jc w:val="center"/>
              <w:rPr>
                <w:rFonts w:eastAsia="Calibri"/>
                <w:bCs/>
                <w:sz w:val="18"/>
                <w:szCs w:val="18"/>
                <w:lang w:val="en-GB"/>
              </w:rPr>
            </w:pPr>
            <w:r w:rsidRPr="00951F3B">
              <w:rPr>
                <w:rFonts w:eastAsia="Calibri"/>
                <w:bCs/>
                <w:sz w:val="18"/>
                <w:szCs w:val="18"/>
                <w:lang w:val="en-GB"/>
              </w:rPr>
              <w:t>12.5</w:t>
            </w:r>
          </w:p>
        </w:tc>
        <w:tc>
          <w:tcPr>
            <w:tcW w:w="609" w:type="dxa"/>
            <w:tcBorders>
              <w:top w:val="nil"/>
              <w:bottom w:val="nil"/>
            </w:tcBorders>
            <w:shd w:val="clear" w:color="auto" w:fill="auto"/>
          </w:tcPr>
          <w:p w:rsidR="009951C6" w:rsidRPr="00951F3B" w:rsidRDefault="009951C6" w:rsidP="00280083">
            <w:pPr>
              <w:jc w:val="center"/>
              <w:rPr>
                <w:rFonts w:eastAsia="Calibri"/>
                <w:bCs/>
                <w:sz w:val="18"/>
                <w:szCs w:val="18"/>
                <w:lang w:val="en-GB"/>
              </w:rPr>
            </w:pPr>
            <w:r w:rsidRPr="00951F3B">
              <w:rPr>
                <w:rFonts w:eastAsia="Calibri"/>
                <w:bCs/>
                <w:sz w:val="18"/>
                <w:szCs w:val="18"/>
                <w:lang w:val="en-GB"/>
              </w:rPr>
              <w:t>7.75</w:t>
            </w:r>
          </w:p>
        </w:tc>
        <w:tc>
          <w:tcPr>
            <w:tcW w:w="609" w:type="dxa"/>
            <w:tcBorders>
              <w:top w:val="nil"/>
              <w:bottom w:val="nil"/>
              <w:right w:val="nil"/>
            </w:tcBorders>
            <w:shd w:val="clear" w:color="auto" w:fill="auto"/>
          </w:tcPr>
          <w:p w:rsidR="009951C6" w:rsidRPr="00951F3B" w:rsidRDefault="009951C6" w:rsidP="00280083">
            <w:pPr>
              <w:jc w:val="center"/>
              <w:rPr>
                <w:rFonts w:eastAsia="Calibri"/>
                <w:color w:val="000000"/>
                <w:sz w:val="18"/>
                <w:szCs w:val="18"/>
                <w:lang w:val="en-GB"/>
              </w:rPr>
            </w:pPr>
            <w:r w:rsidRPr="00951F3B">
              <w:rPr>
                <w:rFonts w:eastAsia="Calibri"/>
                <w:color w:val="000000"/>
                <w:sz w:val="18"/>
                <w:szCs w:val="18"/>
                <w:lang w:val="en-GB"/>
              </w:rPr>
              <w:t>9.43</w:t>
            </w:r>
          </w:p>
        </w:tc>
      </w:tr>
      <w:tr w:rsidR="009951C6" w:rsidRPr="00951F3B" w:rsidTr="00280083">
        <w:trPr>
          <w:trHeight w:val="284"/>
        </w:trPr>
        <w:tc>
          <w:tcPr>
            <w:tcW w:w="1570" w:type="dxa"/>
            <w:tcBorders>
              <w:top w:val="nil"/>
              <w:left w:val="nil"/>
              <w:bottom w:val="nil"/>
            </w:tcBorders>
            <w:shd w:val="clear" w:color="auto" w:fill="auto"/>
          </w:tcPr>
          <w:p w:rsidR="009951C6" w:rsidRPr="00951F3B" w:rsidRDefault="009951C6" w:rsidP="007526B3">
            <w:pPr>
              <w:jc w:val="center"/>
              <w:rPr>
                <w:rFonts w:eastAsia="Calibri"/>
                <w:sz w:val="18"/>
                <w:szCs w:val="18"/>
                <w:lang w:val="en-GB"/>
              </w:rPr>
            </w:pPr>
            <w:r w:rsidRPr="00951F3B">
              <w:rPr>
                <w:rFonts w:eastAsia="Calibri"/>
                <w:sz w:val="18"/>
                <w:szCs w:val="18"/>
                <w:lang w:val="en-GB"/>
              </w:rPr>
              <w:t>65</w:t>
            </w:r>
          </w:p>
        </w:tc>
        <w:tc>
          <w:tcPr>
            <w:tcW w:w="609" w:type="dxa"/>
            <w:tcBorders>
              <w:top w:val="nil"/>
              <w:bottom w:val="nil"/>
            </w:tcBorders>
            <w:shd w:val="clear" w:color="auto" w:fill="auto"/>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30.7</w:t>
            </w:r>
          </w:p>
        </w:tc>
        <w:tc>
          <w:tcPr>
            <w:tcW w:w="609" w:type="dxa"/>
            <w:tcBorders>
              <w:top w:val="nil"/>
              <w:bottom w:val="nil"/>
            </w:tcBorders>
            <w:shd w:val="clear" w:color="auto" w:fill="auto"/>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27.8</w:t>
            </w:r>
          </w:p>
        </w:tc>
        <w:tc>
          <w:tcPr>
            <w:tcW w:w="609" w:type="dxa"/>
            <w:tcBorders>
              <w:top w:val="nil"/>
              <w:bottom w:val="nil"/>
            </w:tcBorders>
            <w:shd w:val="clear" w:color="auto" w:fill="auto"/>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36.8</w:t>
            </w:r>
          </w:p>
        </w:tc>
        <w:tc>
          <w:tcPr>
            <w:tcW w:w="609" w:type="dxa"/>
            <w:tcBorders>
              <w:top w:val="nil"/>
              <w:bottom w:val="nil"/>
            </w:tcBorders>
            <w:shd w:val="clear" w:color="auto" w:fill="auto"/>
          </w:tcPr>
          <w:p w:rsidR="009951C6" w:rsidRPr="00951F3B" w:rsidRDefault="009951C6" w:rsidP="00280083">
            <w:pPr>
              <w:jc w:val="center"/>
              <w:rPr>
                <w:rFonts w:eastAsia="Calibri"/>
                <w:bCs/>
                <w:sz w:val="18"/>
                <w:szCs w:val="18"/>
                <w:lang w:val="en-GB"/>
              </w:rPr>
            </w:pPr>
            <w:r w:rsidRPr="00951F3B">
              <w:rPr>
                <w:rFonts w:eastAsia="Calibri"/>
                <w:bCs/>
                <w:sz w:val="18"/>
                <w:szCs w:val="18"/>
                <w:lang w:val="en-GB"/>
              </w:rPr>
              <w:t>9.30</w:t>
            </w:r>
          </w:p>
        </w:tc>
        <w:tc>
          <w:tcPr>
            <w:tcW w:w="609" w:type="dxa"/>
            <w:tcBorders>
              <w:top w:val="nil"/>
              <w:bottom w:val="nil"/>
            </w:tcBorders>
            <w:shd w:val="clear" w:color="auto" w:fill="auto"/>
          </w:tcPr>
          <w:p w:rsidR="009951C6" w:rsidRPr="00951F3B" w:rsidRDefault="009951C6" w:rsidP="00280083">
            <w:pPr>
              <w:jc w:val="center"/>
              <w:rPr>
                <w:rFonts w:eastAsia="Calibri"/>
                <w:bCs/>
                <w:sz w:val="18"/>
                <w:szCs w:val="18"/>
                <w:lang w:val="en-GB"/>
              </w:rPr>
            </w:pPr>
            <w:r w:rsidRPr="00951F3B">
              <w:rPr>
                <w:rFonts w:eastAsia="Calibri"/>
                <w:bCs/>
                <w:sz w:val="18"/>
                <w:szCs w:val="18"/>
                <w:lang w:val="en-GB"/>
              </w:rPr>
              <w:t>39.2</w:t>
            </w:r>
          </w:p>
        </w:tc>
        <w:tc>
          <w:tcPr>
            <w:tcW w:w="609" w:type="dxa"/>
            <w:tcBorders>
              <w:top w:val="nil"/>
              <w:bottom w:val="nil"/>
            </w:tcBorders>
            <w:shd w:val="clear" w:color="auto" w:fill="auto"/>
          </w:tcPr>
          <w:p w:rsidR="009951C6" w:rsidRPr="00951F3B" w:rsidRDefault="009951C6" w:rsidP="00280083">
            <w:pPr>
              <w:jc w:val="center"/>
              <w:rPr>
                <w:rFonts w:eastAsia="Calibri"/>
                <w:bCs/>
                <w:sz w:val="18"/>
                <w:szCs w:val="18"/>
                <w:lang w:val="en-GB"/>
              </w:rPr>
            </w:pPr>
            <w:r w:rsidRPr="00951F3B">
              <w:rPr>
                <w:rFonts w:eastAsia="Calibri"/>
                <w:bCs/>
                <w:sz w:val="18"/>
                <w:szCs w:val="18"/>
                <w:lang w:val="en-GB"/>
              </w:rPr>
              <w:t>17.6</w:t>
            </w:r>
          </w:p>
        </w:tc>
        <w:tc>
          <w:tcPr>
            <w:tcW w:w="609" w:type="dxa"/>
            <w:tcBorders>
              <w:top w:val="nil"/>
              <w:bottom w:val="nil"/>
              <w:right w:val="nil"/>
            </w:tcBorders>
            <w:shd w:val="clear" w:color="auto" w:fill="auto"/>
          </w:tcPr>
          <w:p w:rsidR="009951C6" w:rsidRPr="00951F3B" w:rsidRDefault="009951C6" w:rsidP="00280083">
            <w:pPr>
              <w:jc w:val="center"/>
              <w:rPr>
                <w:rFonts w:eastAsia="Calibri"/>
                <w:color w:val="000000"/>
                <w:sz w:val="18"/>
                <w:szCs w:val="18"/>
                <w:lang w:val="en-GB"/>
              </w:rPr>
            </w:pPr>
            <w:r w:rsidRPr="00951F3B">
              <w:rPr>
                <w:rFonts w:eastAsia="Calibri"/>
                <w:color w:val="000000"/>
                <w:sz w:val="18"/>
                <w:szCs w:val="18"/>
                <w:lang w:val="en-GB"/>
              </w:rPr>
              <w:t>16.2</w:t>
            </w:r>
          </w:p>
        </w:tc>
      </w:tr>
      <w:tr w:rsidR="009951C6" w:rsidRPr="00951F3B" w:rsidTr="00280083">
        <w:trPr>
          <w:trHeight w:val="284"/>
        </w:trPr>
        <w:tc>
          <w:tcPr>
            <w:tcW w:w="1570" w:type="dxa"/>
            <w:tcBorders>
              <w:top w:val="nil"/>
              <w:left w:val="nil"/>
              <w:bottom w:val="nil"/>
            </w:tcBorders>
            <w:shd w:val="clear" w:color="auto" w:fill="auto"/>
          </w:tcPr>
          <w:p w:rsidR="009951C6" w:rsidRPr="00951F3B" w:rsidRDefault="009951C6" w:rsidP="007526B3">
            <w:pPr>
              <w:jc w:val="center"/>
              <w:rPr>
                <w:rFonts w:eastAsia="Calibri"/>
                <w:sz w:val="18"/>
                <w:szCs w:val="18"/>
                <w:lang w:val="en-GB"/>
              </w:rPr>
            </w:pPr>
            <w:r w:rsidRPr="00951F3B">
              <w:rPr>
                <w:rFonts w:eastAsia="Calibri"/>
                <w:sz w:val="18"/>
                <w:szCs w:val="18"/>
                <w:lang w:val="en-GB"/>
              </w:rPr>
              <w:t>160</w:t>
            </w:r>
          </w:p>
        </w:tc>
        <w:tc>
          <w:tcPr>
            <w:tcW w:w="609" w:type="dxa"/>
            <w:tcBorders>
              <w:top w:val="nil"/>
              <w:bottom w:val="nil"/>
            </w:tcBorders>
            <w:shd w:val="clear" w:color="auto" w:fill="auto"/>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56.1</w:t>
            </w:r>
          </w:p>
        </w:tc>
        <w:tc>
          <w:tcPr>
            <w:tcW w:w="609" w:type="dxa"/>
            <w:tcBorders>
              <w:top w:val="nil"/>
              <w:bottom w:val="nil"/>
            </w:tcBorders>
            <w:shd w:val="clear" w:color="auto" w:fill="auto"/>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50.8</w:t>
            </w:r>
          </w:p>
        </w:tc>
        <w:tc>
          <w:tcPr>
            <w:tcW w:w="609" w:type="dxa"/>
            <w:tcBorders>
              <w:top w:val="nil"/>
              <w:bottom w:val="nil"/>
            </w:tcBorders>
            <w:shd w:val="clear" w:color="auto" w:fill="auto"/>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96.3</w:t>
            </w:r>
          </w:p>
        </w:tc>
        <w:tc>
          <w:tcPr>
            <w:tcW w:w="609" w:type="dxa"/>
            <w:tcBorders>
              <w:top w:val="nil"/>
              <w:bottom w:val="nil"/>
            </w:tcBorders>
            <w:shd w:val="clear" w:color="auto" w:fill="auto"/>
          </w:tcPr>
          <w:p w:rsidR="009951C6" w:rsidRPr="00951F3B" w:rsidRDefault="009951C6" w:rsidP="00280083">
            <w:pPr>
              <w:jc w:val="center"/>
              <w:rPr>
                <w:rFonts w:eastAsia="Calibri"/>
                <w:bCs/>
                <w:sz w:val="18"/>
                <w:szCs w:val="18"/>
                <w:lang w:val="en-GB"/>
              </w:rPr>
            </w:pPr>
            <w:r w:rsidRPr="00951F3B">
              <w:rPr>
                <w:rFonts w:eastAsia="Calibri"/>
                <w:bCs/>
                <w:sz w:val="18"/>
                <w:szCs w:val="18"/>
                <w:lang w:val="en-GB"/>
              </w:rPr>
              <w:t>16.1</w:t>
            </w:r>
          </w:p>
        </w:tc>
        <w:tc>
          <w:tcPr>
            <w:tcW w:w="609" w:type="dxa"/>
            <w:tcBorders>
              <w:top w:val="nil"/>
              <w:bottom w:val="nil"/>
            </w:tcBorders>
            <w:shd w:val="clear" w:color="auto" w:fill="auto"/>
          </w:tcPr>
          <w:p w:rsidR="009951C6" w:rsidRPr="00951F3B" w:rsidRDefault="009951C6" w:rsidP="00280083">
            <w:pPr>
              <w:jc w:val="center"/>
              <w:rPr>
                <w:rFonts w:eastAsia="Calibri"/>
                <w:bCs/>
                <w:sz w:val="18"/>
                <w:szCs w:val="18"/>
                <w:lang w:val="en-GB"/>
              </w:rPr>
            </w:pPr>
            <w:r w:rsidRPr="00951F3B">
              <w:rPr>
                <w:rFonts w:eastAsia="Calibri"/>
                <w:bCs/>
                <w:sz w:val="18"/>
                <w:szCs w:val="18"/>
                <w:lang w:val="en-GB"/>
              </w:rPr>
              <w:t>41.4</w:t>
            </w:r>
          </w:p>
        </w:tc>
        <w:tc>
          <w:tcPr>
            <w:tcW w:w="609" w:type="dxa"/>
            <w:tcBorders>
              <w:top w:val="nil"/>
              <w:bottom w:val="nil"/>
            </w:tcBorders>
            <w:shd w:val="clear" w:color="auto" w:fill="auto"/>
          </w:tcPr>
          <w:p w:rsidR="009951C6" w:rsidRPr="00951F3B" w:rsidRDefault="009951C6" w:rsidP="00280083">
            <w:pPr>
              <w:jc w:val="center"/>
              <w:rPr>
                <w:rFonts w:eastAsia="Calibri"/>
                <w:bCs/>
                <w:sz w:val="18"/>
                <w:szCs w:val="18"/>
                <w:lang w:val="en-GB"/>
              </w:rPr>
            </w:pPr>
            <w:r w:rsidRPr="00951F3B">
              <w:rPr>
                <w:rFonts w:eastAsia="Calibri"/>
                <w:bCs/>
                <w:sz w:val="18"/>
                <w:szCs w:val="18"/>
                <w:lang w:val="en-GB"/>
              </w:rPr>
              <w:t>35.7</w:t>
            </w:r>
          </w:p>
        </w:tc>
        <w:tc>
          <w:tcPr>
            <w:tcW w:w="609" w:type="dxa"/>
            <w:tcBorders>
              <w:top w:val="nil"/>
              <w:bottom w:val="nil"/>
              <w:right w:val="nil"/>
            </w:tcBorders>
            <w:shd w:val="clear" w:color="auto" w:fill="auto"/>
          </w:tcPr>
          <w:p w:rsidR="009951C6" w:rsidRPr="00951F3B" w:rsidRDefault="009951C6" w:rsidP="00280083">
            <w:pPr>
              <w:jc w:val="center"/>
              <w:rPr>
                <w:rFonts w:eastAsia="Calibri"/>
                <w:color w:val="000000"/>
                <w:sz w:val="18"/>
                <w:szCs w:val="18"/>
                <w:lang w:val="en-GB"/>
              </w:rPr>
            </w:pPr>
            <w:r w:rsidRPr="00951F3B">
              <w:rPr>
                <w:rFonts w:eastAsia="Calibri"/>
                <w:color w:val="000000"/>
                <w:sz w:val="18"/>
                <w:szCs w:val="18"/>
                <w:lang w:val="en-GB"/>
              </w:rPr>
              <w:t>38.0</w:t>
            </w:r>
          </w:p>
        </w:tc>
      </w:tr>
      <w:tr w:rsidR="009951C6" w:rsidRPr="00951F3B" w:rsidTr="00280083">
        <w:trPr>
          <w:trHeight w:val="284"/>
        </w:trPr>
        <w:tc>
          <w:tcPr>
            <w:tcW w:w="1570" w:type="dxa"/>
            <w:tcBorders>
              <w:top w:val="nil"/>
              <w:left w:val="nil"/>
              <w:bottom w:val="nil"/>
            </w:tcBorders>
            <w:shd w:val="clear" w:color="auto" w:fill="auto"/>
          </w:tcPr>
          <w:p w:rsidR="009951C6" w:rsidRPr="00951F3B" w:rsidRDefault="009951C6" w:rsidP="007526B3">
            <w:pPr>
              <w:jc w:val="center"/>
              <w:rPr>
                <w:rFonts w:eastAsia="Calibri"/>
                <w:sz w:val="18"/>
                <w:szCs w:val="18"/>
                <w:lang w:val="en-GB"/>
              </w:rPr>
            </w:pPr>
            <w:r w:rsidRPr="00951F3B">
              <w:rPr>
                <w:rFonts w:eastAsia="Calibri"/>
                <w:sz w:val="18"/>
                <w:szCs w:val="18"/>
                <w:lang w:val="en-GB"/>
              </w:rPr>
              <w:t>400</w:t>
            </w:r>
          </w:p>
        </w:tc>
        <w:tc>
          <w:tcPr>
            <w:tcW w:w="609" w:type="dxa"/>
            <w:tcBorders>
              <w:top w:val="nil"/>
              <w:bottom w:val="nil"/>
            </w:tcBorders>
            <w:shd w:val="clear" w:color="auto" w:fill="auto"/>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120</w:t>
            </w:r>
          </w:p>
        </w:tc>
        <w:tc>
          <w:tcPr>
            <w:tcW w:w="609" w:type="dxa"/>
            <w:tcBorders>
              <w:top w:val="nil"/>
              <w:bottom w:val="nil"/>
            </w:tcBorders>
            <w:shd w:val="clear" w:color="auto" w:fill="auto"/>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229</w:t>
            </w:r>
          </w:p>
        </w:tc>
        <w:tc>
          <w:tcPr>
            <w:tcW w:w="609" w:type="dxa"/>
            <w:tcBorders>
              <w:top w:val="nil"/>
              <w:bottom w:val="nil"/>
            </w:tcBorders>
            <w:shd w:val="clear" w:color="auto" w:fill="auto"/>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198</w:t>
            </w:r>
          </w:p>
        </w:tc>
        <w:tc>
          <w:tcPr>
            <w:tcW w:w="609" w:type="dxa"/>
            <w:tcBorders>
              <w:top w:val="nil"/>
              <w:bottom w:val="nil"/>
            </w:tcBorders>
            <w:shd w:val="clear" w:color="auto" w:fill="auto"/>
          </w:tcPr>
          <w:p w:rsidR="009951C6" w:rsidRPr="00951F3B" w:rsidRDefault="009951C6" w:rsidP="00280083">
            <w:pPr>
              <w:jc w:val="center"/>
              <w:rPr>
                <w:rFonts w:eastAsia="Calibri"/>
                <w:bCs/>
                <w:sz w:val="18"/>
                <w:szCs w:val="18"/>
                <w:lang w:val="en-GB"/>
              </w:rPr>
            </w:pPr>
            <w:r w:rsidRPr="00951F3B">
              <w:rPr>
                <w:rFonts w:eastAsia="Calibri"/>
                <w:bCs/>
                <w:sz w:val="18"/>
                <w:szCs w:val="18"/>
                <w:lang w:val="en-GB"/>
              </w:rPr>
              <w:t>41.8</w:t>
            </w:r>
          </w:p>
        </w:tc>
        <w:tc>
          <w:tcPr>
            <w:tcW w:w="609" w:type="dxa"/>
            <w:tcBorders>
              <w:top w:val="nil"/>
              <w:bottom w:val="nil"/>
            </w:tcBorders>
            <w:shd w:val="clear" w:color="auto" w:fill="auto"/>
          </w:tcPr>
          <w:p w:rsidR="009951C6" w:rsidRPr="00951F3B" w:rsidRDefault="009951C6" w:rsidP="00280083">
            <w:pPr>
              <w:jc w:val="center"/>
              <w:rPr>
                <w:rFonts w:eastAsia="Calibri"/>
                <w:bCs/>
                <w:sz w:val="18"/>
                <w:szCs w:val="18"/>
                <w:lang w:val="en-GB"/>
              </w:rPr>
            </w:pPr>
            <w:r w:rsidRPr="00951F3B">
              <w:rPr>
                <w:rFonts w:eastAsia="Calibri"/>
                <w:bCs/>
                <w:sz w:val="18"/>
                <w:szCs w:val="18"/>
                <w:lang w:val="en-GB"/>
              </w:rPr>
              <w:t>132</w:t>
            </w:r>
          </w:p>
        </w:tc>
        <w:tc>
          <w:tcPr>
            <w:tcW w:w="609" w:type="dxa"/>
            <w:tcBorders>
              <w:top w:val="nil"/>
              <w:bottom w:val="nil"/>
            </w:tcBorders>
            <w:shd w:val="clear" w:color="auto" w:fill="auto"/>
          </w:tcPr>
          <w:p w:rsidR="009951C6" w:rsidRPr="00951F3B" w:rsidRDefault="009951C6" w:rsidP="00280083">
            <w:pPr>
              <w:jc w:val="center"/>
              <w:rPr>
                <w:rFonts w:eastAsia="Calibri"/>
                <w:bCs/>
                <w:sz w:val="18"/>
                <w:szCs w:val="18"/>
                <w:lang w:val="en-GB"/>
              </w:rPr>
            </w:pPr>
            <w:r w:rsidRPr="00951F3B">
              <w:rPr>
                <w:rFonts w:eastAsia="Calibri"/>
                <w:bCs/>
                <w:sz w:val="18"/>
                <w:szCs w:val="18"/>
                <w:lang w:val="en-GB"/>
              </w:rPr>
              <w:t>94.9</w:t>
            </w:r>
          </w:p>
        </w:tc>
        <w:tc>
          <w:tcPr>
            <w:tcW w:w="609" w:type="dxa"/>
            <w:tcBorders>
              <w:top w:val="nil"/>
              <w:bottom w:val="nil"/>
              <w:right w:val="nil"/>
            </w:tcBorders>
            <w:shd w:val="clear" w:color="auto" w:fill="auto"/>
          </w:tcPr>
          <w:p w:rsidR="009951C6" w:rsidRPr="00951F3B" w:rsidRDefault="009951C6" w:rsidP="00280083">
            <w:pPr>
              <w:jc w:val="center"/>
              <w:rPr>
                <w:rFonts w:eastAsia="Calibri"/>
                <w:color w:val="000000"/>
                <w:sz w:val="18"/>
                <w:szCs w:val="18"/>
                <w:lang w:val="en-GB"/>
              </w:rPr>
            </w:pPr>
            <w:r w:rsidRPr="00951F3B">
              <w:rPr>
                <w:rFonts w:eastAsia="Calibri"/>
                <w:color w:val="000000"/>
                <w:sz w:val="18"/>
                <w:szCs w:val="18"/>
                <w:lang w:val="en-GB"/>
              </w:rPr>
              <w:t>69.7</w:t>
            </w:r>
          </w:p>
        </w:tc>
      </w:tr>
      <w:tr w:rsidR="009951C6" w:rsidRPr="00951F3B" w:rsidTr="00280083">
        <w:trPr>
          <w:trHeight w:val="284"/>
        </w:trPr>
        <w:tc>
          <w:tcPr>
            <w:tcW w:w="1570" w:type="dxa"/>
            <w:tcBorders>
              <w:top w:val="nil"/>
              <w:left w:val="nil"/>
            </w:tcBorders>
            <w:shd w:val="clear" w:color="auto" w:fill="auto"/>
          </w:tcPr>
          <w:p w:rsidR="009951C6" w:rsidRPr="00951F3B" w:rsidRDefault="009951C6" w:rsidP="007526B3">
            <w:pPr>
              <w:jc w:val="center"/>
              <w:rPr>
                <w:rFonts w:eastAsia="Calibri"/>
                <w:sz w:val="18"/>
                <w:szCs w:val="18"/>
                <w:lang w:val="en-GB"/>
              </w:rPr>
            </w:pPr>
            <w:r w:rsidRPr="00951F3B">
              <w:rPr>
                <w:rFonts w:eastAsia="Calibri"/>
                <w:sz w:val="18"/>
                <w:szCs w:val="18"/>
                <w:lang w:val="en-GB"/>
              </w:rPr>
              <w:t>1000</w:t>
            </w:r>
          </w:p>
        </w:tc>
        <w:tc>
          <w:tcPr>
            <w:tcW w:w="609" w:type="dxa"/>
            <w:tcBorders>
              <w:top w:val="nil"/>
            </w:tcBorders>
            <w:shd w:val="clear" w:color="auto" w:fill="auto"/>
          </w:tcPr>
          <w:p w:rsidR="009951C6" w:rsidRPr="00951F3B" w:rsidRDefault="009951C6" w:rsidP="00280083">
            <w:pPr>
              <w:jc w:val="center"/>
              <w:rPr>
                <w:rFonts w:eastAsia="Calibri"/>
                <w:color w:val="000000"/>
                <w:sz w:val="18"/>
                <w:szCs w:val="18"/>
                <w:lang w:val="en-GB" w:eastAsia="en-GB"/>
              </w:rPr>
            </w:pPr>
            <w:r w:rsidRPr="00951F3B">
              <w:rPr>
                <w:rFonts w:eastAsia="Calibri"/>
                <w:color w:val="000000"/>
                <w:sz w:val="18"/>
                <w:szCs w:val="18"/>
                <w:lang w:val="en-GB" w:eastAsia="en-GB"/>
              </w:rPr>
              <w:t>n.t.</w:t>
            </w:r>
          </w:p>
        </w:tc>
        <w:tc>
          <w:tcPr>
            <w:tcW w:w="609" w:type="dxa"/>
            <w:tcBorders>
              <w:top w:val="nil"/>
            </w:tcBorders>
            <w:shd w:val="clear" w:color="auto" w:fill="auto"/>
          </w:tcPr>
          <w:p w:rsidR="009951C6" w:rsidRPr="00951F3B" w:rsidRDefault="009951C6" w:rsidP="00280083">
            <w:pPr>
              <w:jc w:val="center"/>
              <w:rPr>
                <w:color w:val="000000"/>
                <w:sz w:val="18"/>
                <w:szCs w:val="18"/>
                <w:lang w:val="en-GB" w:eastAsia="en-GB"/>
              </w:rPr>
            </w:pPr>
            <w:r w:rsidRPr="00951F3B">
              <w:rPr>
                <w:color w:val="000000"/>
                <w:sz w:val="18"/>
                <w:szCs w:val="18"/>
                <w:lang w:val="en-GB" w:eastAsia="en-GB"/>
              </w:rPr>
              <w:t>838</w:t>
            </w:r>
          </w:p>
        </w:tc>
        <w:tc>
          <w:tcPr>
            <w:tcW w:w="609" w:type="dxa"/>
            <w:tcBorders>
              <w:top w:val="nil"/>
            </w:tcBorders>
            <w:shd w:val="clear" w:color="auto" w:fill="auto"/>
          </w:tcPr>
          <w:p w:rsidR="009951C6" w:rsidRPr="00951F3B" w:rsidRDefault="009951C6" w:rsidP="00280083">
            <w:pPr>
              <w:jc w:val="center"/>
              <w:rPr>
                <w:rFonts w:eastAsia="Calibri"/>
                <w:color w:val="000000"/>
                <w:sz w:val="18"/>
                <w:szCs w:val="18"/>
                <w:lang w:val="en-GB" w:eastAsia="en-GB"/>
              </w:rPr>
            </w:pPr>
            <w:r w:rsidRPr="00951F3B">
              <w:rPr>
                <w:rFonts w:eastAsia="Calibri"/>
                <w:color w:val="000000"/>
                <w:sz w:val="18"/>
                <w:szCs w:val="18"/>
                <w:lang w:val="en-GB" w:eastAsia="en-GB"/>
              </w:rPr>
              <w:t>n.t.</w:t>
            </w:r>
          </w:p>
        </w:tc>
        <w:tc>
          <w:tcPr>
            <w:tcW w:w="609" w:type="dxa"/>
            <w:tcBorders>
              <w:top w:val="nil"/>
            </w:tcBorders>
            <w:shd w:val="clear" w:color="auto" w:fill="auto"/>
          </w:tcPr>
          <w:p w:rsidR="009951C6" w:rsidRPr="00951F3B" w:rsidRDefault="009951C6" w:rsidP="00280083">
            <w:pPr>
              <w:jc w:val="center"/>
              <w:rPr>
                <w:rFonts w:eastAsia="Calibri"/>
                <w:color w:val="000000"/>
                <w:sz w:val="18"/>
                <w:szCs w:val="18"/>
                <w:lang w:val="en-GB" w:eastAsia="en-GB"/>
              </w:rPr>
            </w:pPr>
            <w:r w:rsidRPr="00951F3B">
              <w:rPr>
                <w:rFonts w:eastAsia="Calibri"/>
                <w:color w:val="000000"/>
                <w:sz w:val="18"/>
                <w:szCs w:val="18"/>
                <w:lang w:val="en-GB" w:eastAsia="en-GB"/>
              </w:rPr>
              <w:t>n.t.</w:t>
            </w:r>
          </w:p>
        </w:tc>
        <w:tc>
          <w:tcPr>
            <w:tcW w:w="609" w:type="dxa"/>
            <w:tcBorders>
              <w:top w:val="nil"/>
            </w:tcBorders>
            <w:shd w:val="clear" w:color="auto" w:fill="auto"/>
          </w:tcPr>
          <w:p w:rsidR="009951C6" w:rsidRPr="00951F3B" w:rsidRDefault="009951C6" w:rsidP="00280083">
            <w:pPr>
              <w:pStyle w:val="NoSpacing"/>
              <w:jc w:val="center"/>
              <w:rPr>
                <w:rFonts w:ascii="Times New Roman" w:eastAsia="Calibri" w:hAnsi="Times New Roman"/>
                <w:sz w:val="18"/>
                <w:szCs w:val="18"/>
                <w:lang w:val="en-GB"/>
              </w:rPr>
            </w:pPr>
            <w:r w:rsidRPr="00951F3B">
              <w:rPr>
                <w:rFonts w:ascii="Times New Roman" w:eastAsia="Calibri" w:hAnsi="Times New Roman"/>
                <w:sz w:val="18"/>
                <w:szCs w:val="18"/>
                <w:lang w:val="en-GB"/>
              </w:rPr>
              <w:t>n.t.</w:t>
            </w:r>
          </w:p>
        </w:tc>
        <w:tc>
          <w:tcPr>
            <w:tcW w:w="609" w:type="dxa"/>
            <w:tcBorders>
              <w:top w:val="nil"/>
            </w:tcBorders>
            <w:shd w:val="clear" w:color="auto" w:fill="auto"/>
          </w:tcPr>
          <w:p w:rsidR="009951C6" w:rsidRPr="00951F3B" w:rsidRDefault="009951C6" w:rsidP="00280083">
            <w:pPr>
              <w:pStyle w:val="NoSpacing"/>
              <w:jc w:val="center"/>
              <w:rPr>
                <w:rFonts w:ascii="Times New Roman" w:eastAsia="Calibri" w:hAnsi="Times New Roman"/>
                <w:sz w:val="18"/>
                <w:szCs w:val="18"/>
                <w:lang w:val="en-GB"/>
              </w:rPr>
            </w:pPr>
            <w:r w:rsidRPr="00951F3B">
              <w:rPr>
                <w:rFonts w:ascii="Times New Roman" w:eastAsia="Calibri" w:hAnsi="Times New Roman"/>
                <w:sz w:val="18"/>
                <w:szCs w:val="18"/>
                <w:lang w:val="en-GB"/>
              </w:rPr>
              <w:t>n.t.</w:t>
            </w:r>
          </w:p>
        </w:tc>
        <w:tc>
          <w:tcPr>
            <w:tcW w:w="609" w:type="dxa"/>
            <w:tcBorders>
              <w:top w:val="nil"/>
              <w:right w:val="nil"/>
            </w:tcBorders>
            <w:shd w:val="clear" w:color="auto" w:fill="auto"/>
          </w:tcPr>
          <w:p w:rsidR="009951C6" w:rsidRPr="00951F3B" w:rsidRDefault="009951C6" w:rsidP="00280083">
            <w:pPr>
              <w:pStyle w:val="NoSpacing"/>
              <w:jc w:val="center"/>
              <w:rPr>
                <w:rFonts w:ascii="Times New Roman" w:eastAsia="Calibri" w:hAnsi="Times New Roman"/>
                <w:sz w:val="18"/>
                <w:szCs w:val="18"/>
                <w:lang w:val="en-GB"/>
              </w:rPr>
            </w:pPr>
            <w:r w:rsidRPr="00951F3B">
              <w:rPr>
                <w:rFonts w:ascii="Times New Roman" w:eastAsia="Calibri" w:hAnsi="Times New Roman"/>
                <w:sz w:val="18"/>
                <w:szCs w:val="18"/>
                <w:lang w:val="en-GB"/>
              </w:rPr>
              <w:t>n.t.</w:t>
            </w:r>
          </w:p>
        </w:tc>
      </w:tr>
    </w:tbl>
    <w:p w:rsidR="009951C6" w:rsidRPr="00951F3B" w:rsidRDefault="009951C6" w:rsidP="00280083">
      <w:pPr>
        <w:spacing w:line="480" w:lineRule="auto"/>
        <w:jc w:val="both"/>
        <w:rPr>
          <w:sz w:val="20"/>
          <w:lang w:val="en-GB"/>
        </w:rPr>
      </w:pPr>
      <w:r w:rsidRPr="00951F3B">
        <w:rPr>
          <w:lang w:val="en-GB"/>
        </w:rPr>
        <w:tab/>
      </w:r>
      <w:r w:rsidR="00FD7220" w:rsidRPr="00951F3B">
        <w:rPr>
          <w:sz w:val="20"/>
          <w:lang w:val="en-GB"/>
        </w:rPr>
        <w:t xml:space="preserve">n.d.: not detected (below LOD),  </w:t>
      </w:r>
      <w:r w:rsidRPr="00951F3B">
        <w:rPr>
          <w:sz w:val="20"/>
          <w:lang w:val="en-GB"/>
        </w:rPr>
        <w:t>n.t.: not tested</w:t>
      </w:r>
    </w:p>
    <w:p w:rsidR="009951C6" w:rsidRPr="00951F3B" w:rsidRDefault="009951C6" w:rsidP="00280083">
      <w:pPr>
        <w:spacing w:line="480" w:lineRule="auto"/>
        <w:jc w:val="both"/>
        <w:rPr>
          <w:lang w:val="en-GB"/>
        </w:rPr>
      </w:pPr>
    </w:p>
    <w:p w:rsidR="009951C6" w:rsidRPr="00951F3B" w:rsidRDefault="009951C6" w:rsidP="00280083">
      <w:pPr>
        <w:numPr>
          <w:ilvl w:val="1"/>
          <w:numId w:val="45"/>
        </w:numPr>
        <w:spacing w:line="480" w:lineRule="auto"/>
        <w:jc w:val="both"/>
        <w:rPr>
          <w:i/>
          <w:lang w:val="en-GB"/>
        </w:rPr>
      </w:pPr>
      <w:r w:rsidRPr="00951F3B">
        <w:rPr>
          <w:i/>
          <w:lang w:val="en-GB"/>
        </w:rPr>
        <w:t>Effect</w:t>
      </w:r>
      <w:r w:rsidR="00FD7220" w:rsidRPr="00951F3B">
        <w:rPr>
          <w:i/>
          <w:lang w:val="en-GB"/>
        </w:rPr>
        <w:t>s</w:t>
      </w:r>
      <w:r w:rsidRPr="00951F3B">
        <w:rPr>
          <w:i/>
          <w:lang w:val="en-GB"/>
        </w:rPr>
        <w:t xml:space="preserve"> of cadmium on P. antipodarum</w:t>
      </w:r>
    </w:p>
    <w:p w:rsidR="009951C6" w:rsidRPr="00951F3B" w:rsidRDefault="009951C6" w:rsidP="00280083">
      <w:pPr>
        <w:spacing w:line="480" w:lineRule="auto"/>
        <w:jc w:val="both"/>
        <w:rPr>
          <w:lang w:val="en-GB"/>
        </w:rPr>
      </w:pPr>
      <w:r w:rsidRPr="00951F3B">
        <w:rPr>
          <w:lang w:val="en-GB"/>
        </w:rPr>
        <w:t>In both validation studies</w:t>
      </w:r>
      <w:r w:rsidR="00CF5450">
        <w:rPr>
          <w:lang w:val="en-GB"/>
        </w:rPr>
        <w:t>,</w:t>
      </w:r>
      <w:r w:rsidRPr="00951F3B">
        <w:rPr>
          <w:lang w:val="en-GB"/>
        </w:rPr>
        <w:t xml:space="preserve"> the mortality of snails </w:t>
      </w:r>
      <w:r w:rsidR="00B61A3A">
        <w:rPr>
          <w:lang w:val="en-GB"/>
        </w:rPr>
        <w:t xml:space="preserve">across treatments </w:t>
      </w:r>
      <w:r w:rsidRPr="00951F3B">
        <w:rPr>
          <w:lang w:val="en-GB"/>
        </w:rPr>
        <w:t xml:space="preserve">was </w:t>
      </w:r>
      <w:r w:rsidR="00B61A3A">
        <w:rPr>
          <w:lang w:val="en-GB"/>
        </w:rPr>
        <w:t>similar</w:t>
      </w:r>
      <w:r w:rsidR="00B61A3A" w:rsidRPr="00951F3B">
        <w:rPr>
          <w:lang w:val="en-GB"/>
        </w:rPr>
        <w:t xml:space="preserve"> </w:t>
      </w:r>
      <w:r w:rsidRPr="00951F3B">
        <w:rPr>
          <w:lang w:val="en-GB"/>
        </w:rPr>
        <w:t>between the laboratories and did not exceed 5.1% after 28 days, except in laboratories 1A and 2F. There</w:t>
      </w:r>
      <w:r w:rsidR="00D629C7">
        <w:rPr>
          <w:lang w:val="en-GB"/>
        </w:rPr>
        <w:t>,</w:t>
      </w:r>
      <w:r w:rsidRPr="00951F3B">
        <w:rPr>
          <w:lang w:val="en-GB"/>
        </w:rPr>
        <w:t xml:space="preserve"> </w:t>
      </w:r>
      <w:r w:rsidRPr="00951F3B">
        <w:rPr>
          <w:lang w:val="en-GB"/>
        </w:rPr>
        <w:lastRenderedPageBreak/>
        <w:t>mortalities of 32.5% and 37.5%, respectively, were observed at the highest test concentrations</w:t>
      </w:r>
      <w:r w:rsidR="00CF5450">
        <w:rPr>
          <w:lang w:val="en-GB"/>
        </w:rPr>
        <w:t xml:space="preserve"> of 20</w:t>
      </w:r>
      <w:r w:rsidR="007526B3">
        <w:rPr>
          <w:lang w:val="en-GB"/>
        </w:rPr>
        <w:t> </w:t>
      </w:r>
      <w:r w:rsidR="00CF5450">
        <w:rPr>
          <w:lang w:val="en-GB"/>
        </w:rPr>
        <w:t>µg/L and 21 µg/L</w:t>
      </w:r>
      <w:r w:rsidRPr="00951F3B">
        <w:rPr>
          <w:lang w:val="en-GB"/>
        </w:rPr>
        <w:t xml:space="preserve">, which </w:t>
      </w:r>
      <w:r w:rsidR="00016BEF" w:rsidRPr="00951F3B">
        <w:rPr>
          <w:lang w:val="en-GB"/>
        </w:rPr>
        <w:t>w</w:t>
      </w:r>
      <w:r w:rsidR="00016BEF">
        <w:rPr>
          <w:lang w:val="en-GB"/>
        </w:rPr>
        <w:t>ere</w:t>
      </w:r>
      <w:r w:rsidR="00016BEF" w:rsidRPr="00951F3B">
        <w:rPr>
          <w:lang w:val="en-GB"/>
        </w:rPr>
        <w:t xml:space="preserve"> </w:t>
      </w:r>
      <w:r w:rsidR="00794E5B" w:rsidRPr="00951F3B">
        <w:rPr>
          <w:lang w:val="en-GB"/>
        </w:rPr>
        <w:t xml:space="preserve">statistically </w:t>
      </w:r>
      <w:r w:rsidRPr="00951F3B">
        <w:rPr>
          <w:lang w:val="en-GB"/>
        </w:rPr>
        <w:t xml:space="preserve">significant compared to the </w:t>
      </w:r>
      <w:r w:rsidR="00AC4A4C">
        <w:rPr>
          <w:lang w:val="en-GB"/>
        </w:rPr>
        <w:t xml:space="preserve">water </w:t>
      </w:r>
      <w:r w:rsidRPr="00951F3B">
        <w:rPr>
          <w:lang w:val="en-GB"/>
        </w:rPr>
        <w:t>controls (Fisher’s exact test, p &lt; 0</w:t>
      </w:r>
      <w:r w:rsidR="00D152F8" w:rsidRPr="00951F3B">
        <w:rPr>
          <w:lang w:val="en-GB"/>
        </w:rPr>
        <w:t>.00</w:t>
      </w:r>
      <w:r w:rsidRPr="00951F3B">
        <w:rPr>
          <w:lang w:val="en-GB"/>
        </w:rPr>
        <w:t>1).</w:t>
      </w:r>
    </w:p>
    <w:p w:rsidR="009951C6" w:rsidRPr="00951F3B" w:rsidRDefault="009951C6" w:rsidP="00280083">
      <w:pPr>
        <w:spacing w:line="480" w:lineRule="auto"/>
        <w:jc w:val="both"/>
        <w:rPr>
          <w:lang w:val="en-GB"/>
        </w:rPr>
      </w:pPr>
      <w:r w:rsidRPr="00951F3B">
        <w:rPr>
          <w:lang w:val="en-GB"/>
        </w:rPr>
        <w:t xml:space="preserve">In all participating laboratories of validation I and II a concentration-dependent decrease of embryo numbers could be observed. Figure 1 shows the </w:t>
      </w:r>
      <w:r w:rsidR="00CF5450">
        <w:rPr>
          <w:lang w:val="en-GB"/>
        </w:rPr>
        <w:t>concentration</w:t>
      </w:r>
      <w:r w:rsidRPr="00951F3B">
        <w:rPr>
          <w:lang w:val="en-GB"/>
        </w:rPr>
        <w:t xml:space="preserve">-response curves fitted to the experimental data. Obtained effect concentrations are summarised in </w:t>
      </w:r>
      <w:r w:rsidR="0061433F">
        <w:rPr>
          <w:lang w:val="en-GB"/>
        </w:rPr>
        <w:t>T</w:t>
      </w:r>
      <w:r w:rsidR="0061433F" w:rsidRPr="00951F3B">
        <w:rPr>
          <w:lang w:val="en-GB"/>
        </w:rPr>
        <w:t xml:space="preserve">able </w:t>
      </w:r>
      <w:r w:rsidRPr="00951F3B">
        <w:rPr>
          <w:lang w:val="en-GB"/>
        </w:rPr>
        <w:t xml:space="preserve">5. In comparison to the other laboratories, </w:t>
      </w:r>
      <w:r w:rsidR="00CF5450">
        <w:rPr>
          <w:lang w:val="en-GB"/>
        </w:rPr>
        <w:t xml:space="preserve">laboratory </w:t>
      </w:r>
      <w:r w:rsidRPr="00951F3B">
        <w:rPr>
          <w:lang w:val="en-GB"/>
        </w:rPr>
        <w:t>1B detected considerably lower effect concentrations, resulting in an EC</w:t>
      </w:r>
      <w:r w:rsidRPr="00951F3B">
        <w:rPr>
          <w:vertAlign w:val="subscript"/>
          <w:lang w:val="en-GB"/>
        </w:rPr>
        <w:t>10</w:t>
      </w:r>
      <w:r w:rsidRPr="00951F3B">
        <w:rPr>
          <w:lang w:val="en-GB"/>
        </w:rPr>
        <w:t xml:space="preserve"> of 0.69 µg/L and a </w:t>
      </w:r>
      <w:r w:rsidR="00CF5450">
        <w:rPr>
          <w:lang w:val="en-GB"/>
        </w:rPr>
        <w:t>N</w:t>
      </w:r>
      <w:r w:rsidR="00CF5450" w:rsidRPr="00951F3B">
        <w:rPr>
          <w:lang w:val="en-GB"/>
        </w:rPr>
        <w:t xml:space="preserve">OEC </w:t>
      </w:r>
      <w:r w:rsidRPr="00951F3B">
        <w:rPr>
          <w:lang w:val="en-GB"/>
        </w:rPr>
        <w:t xml:space="preserve">of </w:t>
      </w:r>
      <w:r w:rsidR="00CF5450">
        <w:rPr>
          <w:lang w:val="en-GB"/>
        </w:rPr>
        <w:t>1</w:t>
      </w:r>
      <w:r w:rsidRPr="00951F3B">
        <w:rPr>
          <w:lang w:val="en-GB"/>
        </w:rPr>
        <w:t>.</w:t>
      </w:r>
      <w:r w:rsidR="00CF5450">
        <w:rPr>
          <w:lang w:val="en-GB"/>
        </w:rPr>
        <w:t>18</w:t>
      </w:r>
      <w:r w:rsidR="00CF5450" w:rsidRPr="00951F3B">
        <w:rPr>
          <w:lang w:val="en-GB"/>
        </w:rPr>
        <w:t> </w:t>
      </w:r>
      <w:r w:rsidRPr="00951F3B">
        <w:rPr>
          <w:lang w:val="en-GB"/>
        </w:rPr>
        <w:t>µg/L. Effect concentrations´ 95%-confidence intervals of laboratory 1B did not overlap with confidence intervals of effect concentrations from other laboratories of the validation studies. These showed similar results with EC</w:t>
      </w:r>
      <w:r w:rsidRPr="00951F3B">
        <w:rPr>
          <w:vertAlign w:val="subscript"/>
          <w:lang w:val="en-GB"/>
        </w:rPr>
        <w:t>10</w:t>
      </w:r>
      <w:r w:rsidRPr="00951F3B">
        <w:rPr>
          <w:lang w:val="en-GB"/>
        </w:rPr>
        <w:t xml:space="preserve"> values ranging from 3.46 µg/L to 10.3 µg/L. EC</w:t>
      </w:r>
      <w:r w:rsidRPr="00951F3B">
        <w:rPr>
          <w:vertAlign w:val="subscript"/>
          <w:lang w:val="en-GB"/>
        </w:rPr>
        <w:t>50</w:t>
      </w:r>
      <w:r w:rsidRPr="00951F3B">
        <w:rPr>
          <w:lang w:val="en-GB"/>
        </w:rPr>
        <w:t xml:space="preserve"> values show a 4.2-fold difference between the laboratories. </w:t>
      </w:r>
      <w:r w:rsidR="00CF5450">
        <w:rPr>
          <w:lang w:val="en-GB"/>
        </w:rPr>
        <w:t xml:space="preserve">NOEC values were between 1.95 µg/L and 11.1 µg/L. </w:t>
      </w:r>
      <w:r w:rsidRPr="00951F3B">
        <w:rPr>
          <w:lang w:val="en-GB"/>
        </w:rPr>
        <w:t xml:space="preserve">When excluding laboratory 1B, a 1.72-fold difference </w:t>
      </w:r>
      <w:r w:rsidR="00CF5450">
        <w:rPr>
          <w:lang w:val="en-GB"/>
        </w:rPr>
        <w:t>in</w:t>
      </w:r>
      <w:r w:rsidR="00CF5450" w:rsidRPr="00951F3B">
        <w:rPr>
          <w:lang w:val="en-GB"/>
        </w:rPr>
        <w:t xml:space="preserve"> </w:t>
      </w:r>
      <w:r w:rsidRPr="00951F3B">
        <w:rPr>
          <w:lang w:val="en-GB"/>
        </w:rPr>
        <w:t>EC</w:t>
      </w:r>
      <w:r w:rsidRPr="00951F3B">
        <w:rPr>
          <w:vertAlign w:val="subscript"/>
          <w:lang w:val="en-GB"/>
        </w:rPr>
        <w:t>50</w:t>
      </w:r>
      <w:r w:rsidRPr="00951F3B">
        <w:rPr>
          <w:lang w:val="en-GB"/>
        </w:rPr>
        <w:t xml:space="preserve"> values </w:t>
      </w:r>
      <w:r w:rsidR="00CF5450">
        <w:rPr>
          <w:lang w:val="en-GB"/>
        </w:rPr>
        <w:t xml:space="preserve">was observed between </w:t>
      </w:r>
      <w:r w:rsidRPr="00951F3B">
        <w:rPr>
          <w:lang w:val="en-GB"/>
        </w:rPr>
        <w:t xml:space="preserve">the studies. Due to the bad health status </w:t>
      </w:r>
      <w:r w:rsidR="0061433F">
        <w:rPr>
          <w:lang w:val="en-GB"/>
        </w:rPr>
        <w:t>this</w:t>
      </w:r>
      <w:r w:rsidRPr="00951F3B">
        <w:rPr>
          <w:lang w:val="en-GB"/>
        </w:rPr>
        <w:t xml:space="preserve"> most probably </w:t>
      </w:r>
      <w:r w:rsidR="0061433F">
        <w:rPr>
          <w:lang w:val="en-GB"/>
        </w:rPr>
        <w:t>resulted in a</w:t>
      </w:r>
      <w:r w:rsidR="0061433F" w:rsidRPr="00951F3B">
        <w:rPr>
          <w:lang w:val="en-GB"/>
        </w:rPr>
        <w:t xml:space="preserve"> </w:t>
      </w:r>
      <w:r w:rsidRPr="00951F3B">
        <w:rPr>
          <w:lang w:val="en-GB"/>
        </w:rPr>
        <w:t>high</w:t>
      </w:r>
      <w:r w:rsidR="0061433F">
        <w:rPr>
          <w:lang w:val="en-GB"/>
        </w:rPr>
        <w:t>er</w:t>
      </w:r>
      <w:r w:rsidRPr="00951F3B">
        <w:rPr>
          <w:lang w:val="en-GB"/>
        </w:rPr>
        <w:t xml:space="preserve"> sensitivity of the snails </w:t>
      </w:r>
      <w:r w:rsidR="0061433F">
        <w:rPr>
          <w:lang w:val="en-GB"/>
        </w:rPr>
        <w:t>from the</w:t>
      </w:r>
      <w:r w:rsidRPr="00951F3B">
        <w:rPr>
          <w:lang w:val="en-GB"/>
        </w:rPr>
        <w:t xml:space="preserve"> mixed cohorts (see 3.3) in laboratory 1B, </w:t>
      </w:r>
      <w:r w:rsidR="0061433F">
        <w:rPr>
          <w:lang w:val="en-GB"/>
        </w:rPr>
        <w:t xml:space="preserve">therefore, </w:t>
      </w:r>
      <w:r w:rsidRPr="00951F3B">
        <w:rPr>
          <w:lang w:val="en-GB"/>
        </w:rPr>
        <w:t>the obtained effect concentrations were excluded from the calculation of the coefficient</w:t>
      </w:r>
      <w:r w:rsidR="00A9508E">
        <w:rPr>
          <w:lang w:val="en-GB"/>
        </w:rPr>
        <w:t>s</w:t>
      </w:r>
      <w:r w:rsidRPr="00951F3B">
        <w:rPr>
          <w:lang w:val="en-GB"/>
        </w:rPr>
        <w:t xml:space="preserve"> of variation. </w:t>
      </w:r>
    </w:p>
    <w:p w:rsidR="009951C6" w:rsidRPr="00951F3B" w:rsidRDefault="00726A23" w:rsidP="00280083">
      <w:pPr>
        <w:spacing w:line="480" w:lineRule="auto"/>
        <w:jc w:val="both"/>
        <w:rPr>
          <w:lang w:val="en-GB"/>
        </w:rPr>
      </w:pPr>
      <w:r w:rsidRPr="00951F3B">
        <w:rPr>
          <w:noProof/>
          <w:lang w:val="en-GB" w:eastAsia="zh-CN"/>
        </w:rPr>
        <w:lastRenderedPageBreak/>
        <w:drawing>
          <wp:inline distT="0" distB="0" distL="0" distR="0">
            <wp:extent cx="5753100" cy="4010025"/>
            <wp:effectExtent l="0" t="0" r="0" b="9525"/>
            <wp:docPr id="3" name="Bild 1" descr="Cadmium dose-response curves Validation I and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mium dose-response curves Validation I and I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4010025"/>
                    </a:xfrm>
                    <a:prstGeom prst="rect">
                      <a:avLst/>
                    </a:prstGeom>
                    <a:noFill/>
                    <a:ln>
                      <a:noFill/>
                    </a:ln>
                  </pic:spPr>
                </pic:pic>
              </a:graphicData>
            </a:graphic>
          </wp:inline>
        </w:drawing>
      </w:r>
    </w:p>
    <w:p w:rsidR="009951C6" w:rsidRPr="00951F3B" w:rsidRDefault="009951C6" w:rsidP="00280083">
      <w:pPr>
        <w:jc w:val="both"/>
        <w:rPr>
          <w:sz w:val="20"/>
          <w:lang w:val="en-GB"/>
        </w:rPr>
      </w:pPr>
      <w:r w:rsidRPr="00951F3B">
        <w:rPr>
          <w:sz w:val="20"/>
          <w:lang w:val="en-GB"/>
        </w:rPr>
        <w:t xml:space="preserve">Figure 1: Total embryo numbers (mean ± standard deviation (SD)) after 28 days exposure to measured cadmium concentrations in laboratories </w:t>
      </w:r>
      <w:r w:rsidR="00794E5B" w:rsidRPr="00951F3B">
        <w:rPr>
          <w:sz w:val="20"/>
          <w:lang w:val="en-GB"/>
        </w:rPr>
        <w:t xml:space="preserve">reporting valid test results </w:t>
      </w:r>
      <w:r w:rsidRPr="00951F3B">
        <w:rPr>
          <w:sz w:val="20"/>
          <w:lang w:val="en-GB"/>
        </w:rPr>
        <w:t>of validation I and II (n = 4 replicates per group).</w:t>
      </w:r>
    </w:p>
    <w:p w:rsidR="009951C6" w:rsidRPr="00951F3B" w:rsidRDefault="009951C6" w:rsidP="00280083">
      <w:pPr>
        <w:spacing w:line="480" w:lineRule="auto"/>
        <w:jc w:val="both"/>
        <w:rPr>
          <w:sz w:val="20"/>
          <w:lang w:val="en-GB"/>
        </w:rPr>
      </w:pPr>
    </w:p>
    <w:p w:rsidR="009951C6" w:rsidRPr="00951F3B" w:rsidRDefault="009951C6" w:rsidP="00280083">
      <w:pPr>
        <w:spacing w:line="480" w:lineRule="auto"/>
        <w:jc w:val="both"/>
        <w:rPr>
          <w:sz w:val="20"/>
          <w:lang w:val="en-GB"/>
        </w:rPr>
      </w:pPr>
    </w:p>
    <w:p w:rsidR="009951C6" w:rsidRPr="00951F3B" w:rsidRDefault="009951C6" w:rsidP="00280083">
      <w:pPr>
        <w:suppressAutoHyphens w:val="0"/>
        <w:jc w:val="both"/>
        <w:rPr>
          <w:sz w:val="20"/>
          <w:szCs w:val="22"/>
          <w:lang w:val="en-GB" w:eastAsia="de-DE"/>
        </w:rPr>
      </w:pPr>
      <w:r w:rsidRPr="00951F3B">
        <w:rPr>
          <w:sz w:val="20"/>
          <w:szCs w:val="22"/>
          <w:lang w:val="en-GB" w:eastAsia="de-DE"/>
        </w:rPr>
        <w:t>Table 5</w:t>
      </w:r>
      <w:r w:rsidRPr="00951F3B">
        <w:rPr>
          <w:b/>
          <w:sz w:val="20"/>
          <w:szCs w:val="22"/>
          <w:lang w:val="en-GB" w:eastAsia="de-DE"/>
        </w:rPr>
        <w:t>:</w:t>
      </w:r>
      <w:r w:rsidRPr="00951F3B">
        <w:rPr>
          <w:sz w:val="20"/>
          <w:szCs w:val="22"/>
          <w:lang w:val="en-GB" w:eastAsia="de-DE"/>
        </w:rPr>
        <w:t xml:space="preserve"> Effect concentrations (NOEC, LOEC, EC</w:t>
      </w:r>
      <w:r w:rsidRPr="00951F3B">
        <w:rPr>
          <w:sz w:val="20"/>
          <w:szCs w:val="22"/>
          <w:vertAlign w:val="subscript"/>
          <w:lang w:val="en-GB" w:eastAsia="de-DE"/>
        </w:rPr>
        <w:t>10</w:t>
      </w:r>
      <w:r w:rsidRPr="00951F3B">
        <w:rPr>
          <w:sz w:val="20"/>
          <w:szCs w:val="22"/>
          <w:lang w:val="en-GB" w:eastAsia="de-DE"/>
        </w:rPr>
        <w:t xml:space="preserve"> and EC</w:t>
      </w:r>
      <w:r w:rsidRPr="00951F3B">
        <w:rPr>
          <w:sz w:val="20"/>
          <w:szCs w:val="22"/>
          <w:vertAlign w:val="subscript"/>
          <w:lang w:val="en-GB" w:eastAsia="de-DE"/>
        </w:rPr>
        <w:t>50</w:t>
      </w:r>
      <w:r w:rsidRPr="00951F3B">
        <w:rPr>
          <w:sz w:val="20"/>
          <w:szCs w:val="22"/>
          <w:lang w:val="en-GB" w:eastAsia="de-DE"/>
        </w:rPr>
        <w:t xml:space="preserve"> with 95%-confidence intervals in brackets) for total embryo number based on time weighted means of measured concentrations in µg Cd/L and corresponding coefficients of variation (CV%), excluding </w:t>
      </w:r>
      <w:r w:rsidR="00794E5B" w:rsidRPr="00951F3B">
        <w:rPr>
          <w:sz w:val="20"/>
          <w:szCs w:val="22"/>
          <w:lang w:val="en-GB" w:eastAsia="de-DE"/>
        </w:rPr>
        <w:t xml:space="preserve">laboratory </w:t>
      </w:r>
      <w:r w:rsidRPr="00951F3B">
        <w:rPr>
          <w:sz w:val="20"/>
          <w:szCs w:val="22"/>
          <w:lang w:val="en-GB" w:eastAsia="de-DE"/>
        </w:rPr>
        <w:t>1B.</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846"/>
        <w:gridCol w:w="846"/>
        <w:gridCol w:w="847"/>
        <w:gridCol w:w="847"/>
        <w:gridCol w:w="847"/>
        <w:gridCol w:w="847"/>
        <w:gridCol w:w="847"/>
        <w:gridCol w:w="847"/>
        <w:gridCol w:w="847"/>
        <w:gridCol w:w="669"/>
      </w:tblGrid>
      <w:tr w:rsidR="009951C6" w:rsidRPr="00951F3B" w:rsidTr="00280083">
        <w:trPr>
          <w:trHeight w:val="268"/>
        </w:trPr>
        <w:tc>
          <w:tcPr>
            <w:tcW w:w="1304" w:type="dxa"/>
            <w:vMerge w:val="restart"/>
            <w:tcBorders>
              <w:left w:val="nil"/>
              <w:right w:val="nil"/>
              <w:tl2br w:val="nil"/>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Nominal concentration</w:t>
            </w:r>
          </w:p>
        </w:tc>
        <w:tc>
          <w:tcPr>
            <w:tcW w:w="907" w:type="dxa"/>
            <w:gridSpan w:val="9"/>
            <w:tcBorders>
              <w:left w:val="nil"/>
              <w:bottom w:val="nil"/>
              <w:right w:val="single" w:sz="4" w:space="0" w:color="auto"/>
            </w:tcBorders>
            <w:shd w:val="clear" w:color="auto" w:fill="auto"/>
          </w:tcPr>
          <w:p w:rsidR="009951C6" w:rsidRPr="00951F3B" w:rsidRDefault="009951C6" w:rsidP="00280083">
            <w:pPr>
              <w:spacing w:before="120" w:after="60"/>
              <w:jc w:val="center"/>
              <w:rPr>
                <w:rFonts w:eastAsia="Calibri"/>
                <w:sz w:val="18"/>
                <w:szCs w:val="18"/>
                <w:lang w:val="en-GB"/>
              </w:rPr>
            </w:pPr>
            <w:r w:rsidRPr="00951F3B">
              <w:rPr>
                <w:rFonts w:eastAsia="Calibri"/>
                <w:sz w:val="18"/>
                <w:szCs w:val="18"/>
                <w:lang w:val="en-GB"/>
              </w:rPr>
              <w:t>Laboratories</w:t>
            </w:r>
          </w:p>
        </w:tc>
        <w:tc>
          <w:tcPr>
            <w:tcW w:w="712" w:type="dxa"/>
            <w:tcBorders>
              <w:left w:val="single" w:sz="4" w:space="0" w:color="auto"/>
              <w:bottom w:val="nil"/>
              <w:right w:val="nil"/>
            </w:tcBorders>
            <w:vAlign w:val="bottom"/>
          </w:tcPr>
          <w:p w:rsidR="009951C6" w:rsidRPr="00951F3B" w:rsidRDefault="009951C6" w:rsidP="00280083">
            <w:pPr>
              <w:spacing w:before="120" w:after="60"/>
              <w:jc w:val="center"/>
              <w:rPr>
                <w:rFonts w:eastAsia="Calibri"/>
                <w:sz w:val="18"/>
                <w:szCs w:val="18"/>
                <w:lang w:val="en-GB"/>
              </w:rPr>
            </w:pPr>
            <w:r w:rsidRPr="00951F3B">
              <w:rPr>
                <w:rFonts w:eastAsia="Calibri"/>
                <w:sz w:val="18"/>
                <w:szCs w:val="18"/>
                <w:lang w:val="en-GB"/>
              </w:rPr>
              <w:t>CV%</w:t>
            </w:r>
          </w:p>
        </w:tc>
      </w:tr>
      <w:tr w:rsidR="009951C6" w:rsidRPr="00951F3B" w:rsidTr="00280083">
        <w:trPr>
          <w:trHeight w:val="70"/>
        </w:trPr>
        <w:tc>
          <w:tcPr>
            <w:tcW w:w="1304" w:type="dxa"/>
            <w:vMerge/>
            <w:tcBorders>
              <w:left w:val="nil"/>
              <w:bottom w:val="single" w:sz="4" w:space="0" w:color="auto"/>
              <w:tl2br w:val="nil"/>
            </w:tcBorders>
            <w:shd w:val="clear" w:color="auto" w:fill="auto"/>
          </w:tcPr>
          <w:p w:rsidR="009951C6" w:rsidRPr="00951F3B" w:rsidRDefault="009951C6" w:rsidP="00280083">
            <w:pPr>
              <w:jc w:val="center"/>
              <w:rPr>
                <w:rFonts w:eastAsia="Calibri"/>
                <w:sz w:val="18"/>
                <w:szCs w:val="18"/>
                <w:lang w:val="en-GB"/>
              </w:rPr>
            </w:pPr>
          </w:p>
        </w:tc>
        <w:tc>
          <w:tcPr>
            <w:tcW w:w="907"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1A</w:t>
            </w:r>
          </w:p>
        </w:tc>
        <w:tc>
          <w:tcPr>
            <w:tcW w:w="907" w:type="dxa"/>
            <w:tcBorders>
              <w:top w:val="nil"/>
              <w:bottom w:val="single" w:sz="4" w:space="0" w:color="auto"/>
            </w:tcBorders>
            <w:shd w:val="clear" w:color="auto" w:fill="auto"/>
          </w:tcPr>
          <w:p w:rsidR="009951C6" w:rsidRPr="00951F3B" w:rsidRDefault="009951C6" w:rsidP="00280083">
            <w:pPr>
              <w:spacing w:before="120"/>
              <w:jc w:val="center"/>
              <w:rPr>
                <w:rFonts w:eastAsia="Calibri"/>
                <w:i/>
                <w:sz w:val="18"/>
                <w:szCs w:val="18"/>
                <w:lang w:val="en-GB"/>
              </w:rPr>
            </w:pPr>
            <w:r w:rsidRPr="00951F3B">
              <w:rPr>
                <w:rFonts w:eastAsia="Calibri"/>
                <w:i/>
                <w:sz w:val="18"/>
                <w:szCs w:val="18"/>
                <w:lang w:val="en-GB"/>
              </w:rPr>
              <w:t>1B</w:t>
            </w:r>
          </w:p>
        </w:tc>
        <w:tc>
          <w:tcPr>
            <w:tcW w:w="907"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1C</w:t>
            </w:r>
          </w:p>
        </w:tc>
        <w:tc>
          <w:tcPr>
            <w:tcW w:w="907"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1D</w:t>
            </w:r>
          </w:p>
        </w:tc>
        <w:tc>
          <w:tcPr>
            <w:tcW w:w="907"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2A</w:t>
            </w:r>
          </w:p>
        </w:tc>
        <w:tc>
          <w:tcPr>
            <w:tcW w:w="907"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2E</w:t>
            </w:r>
          </w:p>
        </w:tc>
        <w:tc>
          <w:tcPr>
            <w:tcW w:w="907"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2F</w:t>
            </w:r>
          </w:p>
        </w:tc>
        <w:tc>
          <w:tcPr>
            <w:tcW w:w="907"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2G</w:t>
            </w:r>
          </w:p>
        </w:tc>
        <w:tc>
          <w:tcPr>
            <w:tcW w:w="907" w:type="dxa"/>
            <w:tcBorders>
              <w:top w:val="nil"/>
              <w:bottom w:val="single" w:sz="4" w:space="0" w:color="auto"/>
              <w:right w:val="nil"/>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2H</w:t>
            </w:r>
          </w:p>
        </w:tc>
        <w:tc>
          <w:tcPr>
            <w:tcW w:w="712" w:type="dxa"/>
            <w:tcBorders>
              <w:top w:val="nil"/>
              <w:bottom w:val="single" w:sz="4" w:space="0" w:color="auto"/>
              <w:right w:val="nil"/>
            </w:tcBorders>
          </w:tcPr>
          <w:p w:rsidR="009951C6" w:rsidRPr="00951F3B" w:rsidRDefault="009951C6" w:rsidP="00280083">
            <w:pPr>
              <w:spacing w:before="120"/>
              <w:rPr>
                <w:rFonts w:eastAsia="Calibri"/>
                <w:sz w:val="18"/>
                <w:szCs w:val="18"/>
                <w:lang w:val="en-GB"/>
              </w:rPr>
            </w:pPr>
          </w:p>
        </w:tc>
      </w:tr>
      <w:tr w:rsidR="009951C6" w:rsidRPr="00951F3B" w:rsidTr="00280083">
        <w:trPr>
          <w:trHeight w:val="211"/>
        </w:trPr>
        <w:tc>
          <w:tcPr>
            <w:tcW w:w="1304" w:type="dxa"/>
            <w:tcBorders>
              <w:left w:val="nil"/>
              <w:bottom w:val="nil"/>
            </w:tcBorders>
            <w:shd w:val="clear" w:color="auto" w:fill="auto"/>
          </w:tcPr>
          <w:p w:rsidR="009951C6" w:rsidRPr="00951F3B" w:rsidRDefault="009951C6" w:rsidP="00280083">
            <w:pPr>
              <w:spacing w:before="60" w:line="360" w:lineRule="auto"/>
              <w:jc w:val="center"/>
              <w:rPr>
                <w:rFonts w:eastAsia="Calibri"/>
                <w:sz w:val="18"/>
                <w:szCs w:val="18"/>
                <w:lang w:val="en-GB"/>
              </w:rPr>
            </w:pPr>
            <w:r w:rsidRPr="00951F3B">
              <w:rPr>
                <w:rFonts w:eastAsia="Calibri"/>
                <w:sz w:val="18"/>
                <w:szCs w:val="18"/>
                <w:lang w:val="en-GB"/>
              </w:rPr>
              <w:t>NOEC</w:t>
            </w:r>
          </w:p>
        </w:tc>
        <w:tc>
          <w:tcPr>
            <w:tcW w:w="907" w:type="dxa"/>
            <w:tcBorders>
              <w:bottom w:val="nil"/>
            </w:tcBorders>
            <w:shd w:val="clear" w:color="auto" w:fill="auto"/>
          </w:tcPr>
          <w:p w:rsidR="009951C6" w:rsidRPr="00951F3B" w:rsidRDefault="009951C6" w:rsidP="00280083">
            <w:pPr>
              <w:suppressAutoHyphens w:val="0"/>
              <w:spacing w:before="60" w:line="360" w:lineRule="auto"/>
              <w:jc w:val="center"/>
              <w:rPr>
                <w:sz w:val="18"/>
                <w:szCs w:val="18"/>
                <w:lang w:val="en-GB" w:eastAsia="de-DE"/>
              </w:rPr>
            </w:pPr>
            <w:r w:rsidRPr="00951F3B">
              <w:rPr>
                <w:sz w:val="18"/>
                <w:szCs w:val="18"/>
                <w:lang w:val="en-GB" w:eastAsia="de-DE"/>
              </w:rPr>
              <w:t>5.61</w:t>
            </w:r>
          </w:p>
        </w:tc>
        <w:tc>
          <w:tcPr>
            <w:tcW w:w="907" w:type="dxa"/>
            <w:tcBorders>
              <w:bottom w:val="nil"/>
            </w:tcBorders>
            <w:shd w:val="clear" w:color="auto" w:fill="auto"/>
          </w:tcPr>
          <w:p w:rsidR="009951C6" w:rsidRPr="00951F3B" w:rsidRDefault="009951C6" w:rsidP="00280083">
            <w:pPr>
              <w:suppressAutoHyphens w:val="0"/>
              <w:spacing w:before="60" w:line="360" w:lineRule="auto"/>
              <w:jc w:val="center"/>
              <w:rPr>
                <w:i/>
                <w:sz w:val="18"/>
                <w:szCs w:val="18"/>
                <w:lang w:val="en-GB" w:eastAsia="de-DE"/>
              </w:rPr>
            </w:pPr>
            <w:r w:rsidRPr="00951F3B">
              <w:rPr>
                <w:i/>
                <w:sz w:val="18"/>
                <w:szCs w:val="18"/>
                <w:lang w:val="en-GB" w:eastAsia="de-DE"/>
              </w:rPr>
              <w:t>1.18</w:t>
            </w:r>
          </w:p>
        </w:tc>
        <w:tc>
          <w:tcPr>
            <w:tcW w:w="907" w:type="dxa"/>
            <w:tcBorders>
              <w:bottom w:val="nil"/>
            </w:tcBorders>
            <w:shd w:val="clear" w:color="auto" w:fill="auto"/>
          </w:tcPr>
          <w:p w:rsidR="009951C6" w:rsidRPr="00951F3B" w:rsidRDefault="009951C6" w:rsidP="00280083">
            <w:pPr>
              <w:suppressAutoHyphens w:val="0"/>
              <w:spacing w:before="60" w:line="360" w:lineRule="auto"/>
              <w:jc w:val="center"/>
              <w:rPr>
                <w:sz w:val="18"/>
                <w:szCs w:val="18"/>
                <w:lang w:val="en-GB" w:eastAsia="de-DE"/>
              </w:rPr>
            </w:pPr>
            <w:r w:rsidRPr="00951F3B">
              <w:rPr>
                <w:sz w:val="18"/>
                <w:szCs w:val="18"/>
                <w:lang w:val="en-GB" w:eastAsia="de-DE"/>
              </w:rPr>
              <w:t>1.95</w:t>
            </w:r>
          </w:p>
        </w:tc>
        <w:tc>
          <w:tcPr>
            <w:tcW w:w="907" w:type="dxa"/>
            <w:tcBorders>
              <w:bottom w:val="nil"/>
            </w:tcBorders>
            <w:shd w:val="clear" w:color="auto" w:fill="auto"/>
          </w:tcPr>
          <w:p w:rsidR="009951C6" w:rsidRPr="00951F3B" w:rsidRDefault="009951C6" w:rsidP="00280083">
            <w:pPr>
              <w:suppressAutoHyphens w:val="0"/>
              <w:spacing w:before="60" w:line="360" w:lineRule="auto"/>
              <w:jc w:val="center"/>
              <w:rPr>
                <w:sz w:val="18"/>
                <w:szCs w:val="18"/>
                <w:lang w:val="en-GB" w:eastAsia="de-DE"/>
              </w:rPr>
            </w:pPr>
            <w:r w:rsidRPr="00951F3B">
              <w:rPr>
                <w:sz w:val="18"/>
                <w:szCs w:val="18"/>
                <w:lang w:val="en-GB" w:eastAsia="de-DE"/>
              </w:rPr>
              <w:t>4.69</w:t>
            </w:r>
          </w:p>
        </w:tc>
        <w:tc>
          <w:tcPr>
            <w:tcW w:w="907" w:type="dxa"/>
            <w:tcBorders>
              <w:bottom w:val="nil"/>
            </w:tcBorders>
            <w:shd w:val="clear" w:color="auto" w:fill="auto"/>
            <w:vAlign w:val="center"/>
          </w:tcPr>
          <w:p w:rsidR="009951C6" w:rsidRPr="00951F3B" w:rsidRDefault="009951C6" w:rsidP="00280083">
            <w:pPr>
              <w:pStyle w:val="NoSpacing"/>
              <w:spacing w:before="60" w:line="360" w:lineRule="auto"/>
              <w:jc w:val="center"/>
              <w:rPr>
                <w:rFonts w:ascii="Times New Roman" w:hAnsi="Times New Roman"/>
                <w:sz w:val="18"/>
                <w:lang w:val="en-GB"/>
              </w:rPr>
            </w:pPr>
            <w:r w:rsidRPr="00951F3B">
              <w:rPr>
                <w:rFonts w:ascii="Times New Roman" w:hAnsi="Times New Roman"/>
                <w:sz w:val="18"/>
                <w:lang w:val="en-GB"/>
              </w:rPr>
              <w:t>11.1</w:t>
            </w:r>
          </w:p>
        </w:tc>
        <w:tc>
          <w:tcPr>
            <w:tcW w:w="907" w:type="dxa"/>
            <w:tcBorders>
              <w:bottom w:val="nil"/>
            </w:tcBorders>
            <w:shd w:val="clear" w:color="auto" w:fill="auto"/>
            <w:vAlign w:val="center"/>
          </w:tcPr>
          <w:p w:rsidR="009951C6" w:rsidRPr="00951F3B" w:rsidRDefault="009951C6" w:rsidP="00280083">
            <w:pPr>
              <w:pStyle w:val="NoSpacing"/>
              <w:spacing w:before="60" w:line="360" w:lineRule="auto"/>
              <w:jc w:val="center"/>
              <w:rPr>
                <w:rFonts w:ascii="Times New Roman" w:hAnsi="Times New Roman"/>
                <w:sz w:val="18"/>
                <w:lang w:val="en-GB"/>
              </w:rPr>
            </w:pPr>
            <w:r w:rsidRPr="00951F3B">
              <w:rPr>
                <w:rFonts w:ascii="Times New Roman" w:hAnsi="Times New Roman"/>
                <w:sz w:val="18"/>
                <w:lang w:val="en-GB"/>
              </w:rPr>
              <w:t>4.24</w:t>
            </w:r>
          </w:p>
        </w:tc>
        <w:tc>
          <w:tcPr>
            <w:tcW w:w="907" w:type="dxa"/>
            <w:tcBorders>
              <w:bottom w:val="nil"/>
            </w:tcBorders>
            <w:shd w:val="clear" w:color="auto" w:fill="auto"/>
            <w:vAlign w:val="center"/>
          </w:tcPr>
          <w:p w:rsidR="009951C6" w:rsidRPr="00951F3B" w:rsidRDefault="009951C6" w:rsidP="00280083">
            <w:pPr>
              <w:pStyle w:val="NoSpacing"/>
              <w:spacing w:before="60" w:line="360" w:lineRule="auto"/>
              <w:jc w:val="center"/>
              <w:rPr>
                <w:rFonts w:ascii="Times New Roman" w:hAnsi="Times New Roman"/>
                <w:sz w:val="18"/>
                <w:lang w:val="en-GB"/>
              </w:rPr>
            </w:pPr>
            <w:r w:rsidRPr="00951F3B">
              <w:rPr>
                <w:rFonts w:ascii="Times New Roman" w:hAnsi="Times New Roman"/>
                <w:sz w:val="18"/>
                <w:lang w:val="en-GB"/>
              </w:rPr>
              <w:t>4.74</w:t>
            </w:r>
          </w:p>
        </w:tc>
        <w:tc>
          <w:tcPr>
            <w:tcW w:w="907" w:type="dxa"/>
            <w:tcBorders>
              <w:bottom w:val="nil"/>
            </w:tcBorders>
            <w:shd w:val="clear" w:color="auto" w:fill="auto"/>
            <w:vAlign w:val="center"/>
          </w:tcPr>
          <w:p w:rsidR="009951C6" w:rsidRPr="00951F3B" w:rsidRDefault="009951C6" w:rsidP="00280083">
            <w:pPr>
              <w:pStyle w:val="NoSpacing"/>
              <w:spacing w:before="60" w:line="360" w:lineRule="auto"/>
              <w:jc w:val="center"/>
              <w:rPr>
                <w:rFonts w:ascii="Times New Roman" w:hAnsi="Times New Roman"/>
                <w:sz w:val="18"/>
                <w:lang w:val="en-GB"/>
              </w:rPr>
            </w:pPr>
            <w:r w:rsidRPr="00951F3B">
              <w:rPr>
                <w:rFonts w:ascii="Times New Roman" w:hAnsi="Times New Roman"/>
                <w:sz w:val="18"/>
                <w:lang w:val="en-GB"/>
              </w:rPr>
              <w:t>10.1</w:t>
            </w:r>
          </w:p>
        </w:tc>
        <w:tc>
          <w:tcPr>
            <w:tcW w:w="907" w:type="dxa"/>
            <w:tcBorders>
              <w:bottom w:val="nil"/>
              <w:right w:val="nil"/>
            </w:tcBorders>
            <w:shd w:val="clear" w:color="auto" w:fill="auto"/>
            <w:vAlign w:val="center"/>
          </w:tcPr>
          <w:p w:rsidR="009951C6" w:rsidRPr="00951F3B" w:rsidRDefault="009951C6" w:rsidP="00280083">
            <w:pPr>
              <w:pStyle w:val="NoSpacing"/>
              <w:spacing w:before="60" w:line="360" w:lineRule="auto"/>
              <w:jc w:val="center"/>
              <w:rPr>
                <w:rFonts w:ascii="Times New Roman" w:hAnsi="Times New Roman"/>
                <w:sz w:val="18"/>
                <w:lang w:val="en-GB"/>
              </w:rPr>
            </w:pPr>
            <w:r w:rsidRPr="00951F3B">
              <w:rPr>
                <w:rFonts w:ascii="Times New Roman" w:hAnsi="Times New Roman"/>
                <w:sz w:val="18"/>
                <w:lang w:val="en-GB"/>
              </w:rPr>
              <w:t>9.19</w:t>
            </w:r>
          </w:p>
        </w:tc>
        <w:tc>
          <w:tcPr>
            <w:tcW w:w="712" w:type="dxa"/>
            <w:tcBorders>
              <w:bottom w:val="nil"/>
              <w:right w:val="nil"/>
            </w:tcBorders>
          </w:tcPr>
          <w:p w:rsidR="009951C6" w:rsidRPr="00951F3B" w:rsidRDefault="009951C6" w:rsidP="00280083">
            <w:pPr>
              <w:pStyle w:val="NoSpacing"/>
              <w:spacing w:before="60" w:line="360" w:lineRule="auto"/>
              <w:jc w:val="center"/>
              <w:rPr>
                <w:rFonts w:ascii="Times New Roman" w:eastAsia="Calibri" w:hAnsi="Times New Roman"/>
                <w:sz w:val="18"/>
                <w:szCs w:val="18"/>
                <w:lang w:val="en-GB"/>
              </w:rPr>
            </w:pPr>
            <w:r w:rsidRPr="00951F3B">
              <w:rPr>
                <w:rFonts w:ascii="Times New Roman" w:eastAsia="Calibri" w:hAnsi="Times New Roman"/>
                <w:sz w:val="18"/>
                <w:szCs w:val="18"/>
                <w:lang w:val="en-GB"/>
              </w:rPr>
              <w:t>50.5</w:t>
            </w:r>
          </w:p>
        </w:tc>
      </w:tr>
      <w:tr w:rsidR="009951C6" w:rsidRPr="00951F3B" w:rsidTr="00280083">
        <w:trPr>
          <w:trHeight w:val="243"/>
        </w:trPr>
        <w:tc>
          <w:tcPr>
            <w:tcW w:w="1304" w:type="dxa"/>
            <w:tcBorders>
              <w:top w:val="nil"/>
              <w:left w:val="nil"/>
              <w:bottom w:val="nil"/>
            </w:tcBorders>
            <w:shd w:val="clear" w:color="auto" w:fill="auto"/>
            <w:vAlign w:val="center"/>
          </w:tcPr>
          <w:p w:rsidR="009951C6" w:rsidRPr="00951F3B" w:rsidRDefault="009951C6" w:rsidP="00280083">
            <w:pPr>
              <w:spacing w:line="360" w:lineRule="auto"/>
              <w:jc w:val="center"/>
              <w:rPr>
                <w:rFonts w:eastAsia="Calibri"/>
                <w:sz w:val="18"/>
                <w:szCs w:val="18"/>
                <w:lang w:val="en-GB"/>
              </w:rPr>
            </w:pPr>
            <w:r w:rsidRPr="00951F3B">
              <w:rPr>
                <w:rFonts w:eastAsia="Calibri"/>
                <w:sz w:val="18"/>
                <w:szCs w:val="18"/>
                <w:lang w:val="en-GB"/>
              </w:rPr>
              <w:t>LOEC</w:t>
            </w:r>
          </w:p>
        </w:tc>
        <w:tc>
          <w:tcPr>
            <w:tcW w:w="907" w:type="dxa"/>
            <w:tcBorders>
              <w:top w:val="nil"/>
              <w:bottom w:val="nil"/>
            </w:tcBorders>
            <w:shd w:val="clear" w:color="auto" w:fill="auto"/>
          </w:tcPr>
          <w:p w:rsidR="009951C6" w:rsidRPr="00951F3B" w:rsidRDefault="009951C6" w:rsidP="00280083">
            <w:pPr>
              <w:suppressAutoHyphens w:val="0"/>
              <w:spacing w:line="360" w:lineRule="auto"/>
              <w:jc w:val="center"/>
              <w:rPr>
                <w:sz w:val="18"/>
                <w:szCs w:val="18"/>
                <w:lang w:val="en-GB" w:eastAsia="de-DE"/>
              </w:rPr>
            </w:pPr>
            <w:r w:rsidRPr="00951F3B">
              <w:rPr>
                <w:sz w:val="18"/>
                <w:szCs w:val="18"/>
                <w:lang w:val="en-GB" w:eastAsia="de-DE"/>
              </w:rPr>
              <w:t>10.9</w:t>
            </w:r>
          </w:p>
        </w:tc>
        <w:tc>
          <w:tcPr>
            <w:tcW w:w="907" w:type="dxa"/>
            <w:tcBorders>
              <w:top w:val="nil"/>
              <w:bottom w:val="nil"/>
            </w:tcBorders>
            <w:shd w:val="clear" w:color="auto" w:fill="auto"/>
          </w:tcPr>
          <w:p w:rsidR="009951C6" w:rsidRPr="00951F3B" w:rsidRDefault="009951C6" w:rsidP="00280083">
            <w:pPr>
              <w:suppressAutoHyphens w:val="0"/>
              <w:spacing w:line="360" w:lineRule="auto"/>
              <w:jc w:val="center"/>
              <w:rPr>
                <w:i/>
                <w:sz w:val="18"/>
                <w:szCs w:val="18"/>
                <w:lang w:val="en-GB" w:eastAsia="de-DE"/>
              </w:rPr>
            </w:pPr>
            <w:r w:rsidRPr="00951F3B">
              <w:rPr>
                <w:i/>
                <w:sz w:val="18"/>
                <w:szCs w:val="18"/>
                <w:lang w:val="en-GB" w:eastAsia="de-DE"/>
              </w:rPr>
              <w:t>2.54</w:t>
            </w:r>
          </w:p>
        </w:tc>
        <w:tc>
          <w:tcPr>
            <w:tcW w:w="907" w:type="dxa"/>
            <w:tcBorders>
              <w:top w:val="nil"/>
              <w:bottom w:val="nil"/>
            </w:tcBorders>
            <w:shd w:val="clear" w:color="auto" w:fill="auto"/>
          </w:tcPr>
          <w:p w:rsidR="009951C6" w:rsidRPr="00951F3B" w:rsidRDefault="009951C6" w:rsidP="00280083">
            <w:pPr>
              <w:suppressAutoHyphens w:val="0"/>
              <w:spacing w:line="360" w:lineRule="auto"/>
              <w:jc w:val="center"/>
              <w:rPr>
                <w:sz w:val="18"/>
                <w:szCs w:val="18"/>
                <w:lang w:val="en-GB" w:eastAsia="de-DE"/>
              </w:rPr>
            </w:pPr>
            <w:r w:rsidRPr="00951F3B">
              <w:rPr>
                <w:sz w:val="18"/>
                <w:szCs w:val="18"/>
                <w:lang w:val="en-GB" w:eastAsia="de-DE"/>
              </w:rPr>
              <w:t>5.62</w:t>
            </w:r>
          </w:p>
        </w:tc>
        <w:tc>
          <w:tcPr>
            <w:tcW w:w="907" w:type="dxa"/>
            <w:tcBorders>
              <w:top w:val="nil"/>
              <w:bottom w:val="nil"/>
            </w:tcBorders>
            <w:shd w:val="clear" w:color="auto" w:fill="auto"/>
          </w:tcPr>
          <w:p w:rsidR="009951C6" w:rsidRPr="00951F3B" w:rsidRDefault="009951C6" w:rsidP="00280083">
            <w:pPr>
              <w:suppressAutoHyphens w:val="0"/>
              <w:spacing w:line="360" w:lineRule="auto"/>
              <w:jc w:val="center"/>
              <w:rPr>
                <w:sz w:val="18"/>
                <w:szCs w:val="18"/>
                <w:lang w:val="en-GB" w:eastAsia="de-DE"/>
              </w:rPr>
            </w:pPr>
            <w:r w:rsidRPr="00951F3B">
              <w:rPr>
                <w:sz w:val="18"/>
                <w:szCs w:val="18"/>
                <w:lang w:val="en-GB" w:eastAsia="de-DE"/>
              </w:rPr>
              <w:t>9.45</w:t>
            </w:r>
          </w:p>
        </w:tc>
        <w:tc>
          <w:tcPr>
            <w:tcW w:w="907" w:type="dxa"/>
            <w:tcBorders>
              <w:top w:val="nil"/>
              <w:bottom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20.8</w:t>
            </w:r>
          </w:p>
        </w:tc>
        <w:tc>
          <w:tcPr>
            <w:tcW w:w="907" w:type="dxa"/>
            <w:tcBorders>
              <w:top w:val="nil"/>
              <w:bottom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9.03</w:t>
            </w:r>
          </w:p>
        </w:tc>
        <w:tc>
          <w:tcPr>
            <w:tcW w:w="907" w:type="dxa"/>
            <w:tcBorders>
              <w:top w:val="nil"/>
              <w:bottom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10.6</w:t>
            </w:r>
          </w:p>
        </w:tc>
        <w:tc>
          <w:tcPr>
            <w:tcW w:w="907" w:type="dxa"/>
            <w:tcBorders>
              <w:top w:val="nil"/>
              <w:bottom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15.9</w:t>
            </w:r>
          </w:p>
        </w:tc>
        <w:tc>
          <w:tcPr>
            <w:tcW w:w="907" w:type="dxa"/>
            <w:tcBorders>
              <w:top w:val="nil"/>
              <w:bottom w:val="nil"/>
              <w:right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18.6</w:t>
            </w:r>
          </w:p>
        </w:tc>
        <w:tc>
          <w:tcPr>
            <w:tcW w:w="712" w:type="dxa"/>
            <w:tcBorders>
              <w:top w:val="nil"/>
              <w:bottom w:val="nil"/>
              <w:right w:val="nil"/>
            </w:tcBorders>
          </w:tcPr>
          <w:p w:rsidR="009951C6" w:rsidRPr="00951F3B" w:rsidRDefault="009951C6" w:rsidP="00280083">
            <w:pPr>
              <w:pStyle w:val="NoSpacing"/>
              <w:spacing w:line="360" w:lineRule="auto"/>
              <w:jc w:val="center"/>
              <w:rPr>
                <w:rFonts w:ascii="Times New Roman" w:eastAsia="Calibri" w:hAnsi="Times New Roman"/>
                <w:sz w:val="18"/>
                <w:szCs w:val="18"/>
                <w:lang w:val="en-GB"/>
              </w:rPr>
            </w:pPr>
            <w:r w:rsidRPr="00951F3B">
              <w:rPr>
                <w:rFonts w:ascii="Times New Roman" w:eastAsia="Calibri" w:hAnsi="Times New Roman"/>
                <w:sz w:val="18"/>
                <w:szCs w:val="18"/>
                <w:lang w:val="en-GB"/>
              </w:rPr>
              <w:t>42.2</w:t>
            </w:r>
          </w:p>
        </w:tc>
      </w:tr>
      <w:tr w:rsidR="009951C6" w:rsidRPr="00951F3B" w:rsidTr="00280083">
        <w:trPr>
          <w:trHeight w:val="228"/>
        </w:trPr>
        <w:tc>
          <w:tcPr>
            <w:tcW w:w="1304" w:type="dxa"/>
            <w:tcBorders>
              <w:top w:val="nil"/>
              <w:left w:val="nil"/>
              <w:bottom w:val="nil"/>
            </w:tcBorders>
            <w:shd w:val="clear" w:color="auto" w:fill="auto"/>
          </w:tcPr>
          <w:p w:rsidR="009951C6" w:rsidRPr="00951F3B" w:rsidRDefault="009951C6" w:rsidP="00280083">
            <w:pPr>
              <w:spacing w:line="360" w:lineRule="auto"/>
              <w:jc w:val="center"/>
              <w:rPr>
                <w:rFonts w:eastAsia="Calibri"/>
                <w:sz w:val="18"/>
                <w:szCs w:val="18"/>
                <w:lang w:val="en-GB"/>
              </w:rPr>
            </w:pPr>
            <w:r w:rsidRPr="00951F3B">
              <w:rPr>
                <w:rFonts w:eastAsia="Calibri"/>
                <w:sz w:val="18"/>
                <w:szCs w:val="18"/>
                <w:lang w:val="en-GB"/>
              </w:rPr>
              <w:t>EC</w:t>
            </w:r>
            <w:r w:rsidRPr="00951F3B">
              <w:rPr>
                <w:rFonts w:eastAsia="Calibri"/>
                <w:sz w:val="18"/>
                <w:szCs w:val="18"/>
                <w:vertAlign w:val="subscript"/>
                <w:lang w:val="en-GB"/>
              </w:rPr>
              <w:t>10</w:t>
            </w:r>
          </w:p>
        </w:tc>
        <w:tc>
          <w:tcPr>
            <w:tcW w:w="907" w:type="dxa"/>
            <w:tcBorders>
              <w:top w:val="nil"/>
              <w:bottom w:val="nil"/>
            </w:tcBorders>
            <w:shd w:val="clear" w:color="auto" w:fill="auto"/>
          </w:tcPr>
          <w:p w:rsidR="009951C6" w:rsidRPr="00951F3B" w:rsidRDefault="009951C6" w:rsidP="00280083">
            <w:pPr>
              <w:suppressAutoHyphens w:val="0"/>
              <w:spacing w:line="360" w:lineRule="auto"/>
              <w:jc w:val="center"/>
              <w:rPr>
                <w:sz w:val="18"/>
                <w:szCs w:val="18"/>
                <w:lang w:val="en-GB" w:eastAsia="de-DE"/>
              </w:rPr>
            </w:pPr>
            <w:r w:rsidRPr="00951F3B">
              <w:rPr>
                <w:sz w:val="18"/>
                <w:szCs w:val="18"/>
                <w:lang w:val="en-GB" w:eastAsia="de-DE"/>
              </w:rPr>
              <w:t>4.52</w:t>
            </w:r>
          </w:p>
          <w:p w:rsidR="009951C6" w:rsidRPr="00951F3B" w:rsidRDefault="009951C6" w:rsidP="00280083">
            <w:pPr>
              <w:suppressAutoHyphens w:val="0"/>
              <w:spacing w:line="360" w:lineRule="auto"/>
              <w:jc w:val="center"/>
              <w:rPr>
                <w:sz w:val="18"/>
                <w:szCs w:val="18"/>
                <w:lang w:val="en-GB" w:eastAsia="de-DE"/>
              </w:rPr>
            </w:pPr>
            <w:r w:rsidRPr="00951F3B">
              <w:rPr>
                <w:sz w:val="14"/>
                <w:szCs w:val="18"/>
                <w:lang w:val="en-GB" w:eastAsia="de-DE"/>
              </w:rPr>
              <w:t>(2.52-6.51)</w:t>
            </w:r>
          </w:p>
        </w:tc>
        <w:tc>
          <w:tcPr>
            <w:tcW w:w="907" w:type="dxa"/>
            <w:tcBorders>
              <w:top w:val="nil"/>
              <w:bottom w:val="nil"/>
            </w:tcBorders>
            <w:shd w:val="clear" w:color="auto" w:fill="auto"/>
          </w:tcPr>
          <w:p w:rsidR="009951C6" w:rsidRPr="00951F3B" w:rsidRDefault="009951C6" w:rsidP="00280083">
            <w:pPr>
              <w:suppressAutoHyphens w:val="0"/>
              <w:spacing w:line="360" w:lineRule="auto"/>
              <w:jc w:val="center"/>
              <w:rPr>
                <w:i/>
                <w:sz w:val="18"/>
                <w:szCs w:val="18"/>
                <w:lang w:val="en-GB" w:eastAsia="de-DE"/>
              </w:rPr>
            </w:pPr>
            <w:r w:rsidRPr="00951F3B">
              <w:rPr>
                <w:i/>
                <w:sz w:val="18"/>
                <w:szCs w:val="18"/>
                <w:lang w:val="en-GB" w:eastAsia="de-DE"/>
              </w:rPr>
              <w:t>0.689</w:t>
            </w:r>
          </w:p>
          <w:p w:rsidR="009951C6" w:rsidRPr="00951F3B" w:rsidRDefault="009951C6" w:rsidP="00280083">
            <w:pPr>
              <w:suppressAutoHyphens w:val="0"/>
              <w:spacing w:line="360" w:lineRule="auto"/>
              <w:jc w:val="center"/>
              <w:rPr>
                <w:i/>
                <w:sz w:val="18"/>
                <w:szCs w:val="18"/>
                <w:lang w:val="en-GB" w:eastAsia="de-DE"/>
              </w:rPr>
            </w:pPr>
            <w:r w:rsidRPr="00951F3B">
              <w:rPr>
                <w:i/>
                <w:sz w:val="14"/>
                <w:szCs w:val="18"/>
                <w:lang w:val="en-GB" w:eastAsia="de-DE"/>
              </w:rPr>
              <w:t>(0.25-1.91)</w:t>
            </w:r>
          </w:p>
        </w:tc>
        <w:tc>
          <w:tcPr>
            <w:tcW w:w="907" w:type="dxa"/>
            <w:tcBorders>
              <w:top w:val="nil"/>
              <w:bottom w:val="nil"/>
            </w:tcBorders>
            <w:shd w:val="clear" w:color="auto" w:fill="auto"/>
          </w:tcPr>
          <w:p w:rsidR="009951C6" w:rsidRPr="00951F3B" w:rsidRDefault="009951C6" w:rsidP="00280083">
            <w:pPr>
              <w:suppressAutoHyphens w:val="0"/>
              <w:spacing w:line="360" w:lineRule="auto"/>
              <w:jc w:val="center"/>
              <w:rPr>
                <w:sz w:val="18"/>
                <w:szCs w:val="18"/>
                <w:lang w:val="en-GB" w:eastAsia="de-DE"/>
              </w:rPr>
            </w:pPr>
            <w:r w:rsidRPr="00951F3B">
              <w:rPr>
                <w:sz w:val="18"/>
                <w:szCs w:val="18"/>
                <w:lang w:val="en-GB" w:eastAsia="de-DE"/>
              </w:rPr>
              <w:t>3.46</w:t>
            </w:r>
          </w:p>
          <w:p w:rsidR="009951C6" w:rsidRPr="00951F3B" w:rsidRDefault="009951C6" w:rsidP="00280083">
            <w:pPr>
              <w:suppressAutoHyphens w:val="0"/>
              <w:spacing w:line="360" w:lineRule="auto"/>
              <w:jc w:val="center"/>
              <w:rPr>
                <w:sz w:val="18"/>
                <w:szCs w:val="18"/>
                <w:lang w:val="en-GB" w:eastAsia="de-DE"/>
              </w:rPr>
            </w:pPr>
            <w:r w:rsidRPr="00951F3B">
              <w:rPr>
                <w:sz w:val="14"/>
                <w:szCs w:val="18"/>
                <w:lang w:val="en-GB" w:eastAsia="de-DE"/>
              </w:rPr>
              <w:t>(2.28-5.25)</w:t>
            </w:r>
          </w:p>
        </w:tc>
        <w:tc>
          <w:tcPr>
            <w:tcW w:w="907" w:type="dxa"/>
            <w:tcBorders>
              <w:top w:val="nil"/>
              <w:bottom w:val="nil"/>
            </w:tcBorders>
            <w:shd w:val="clear" w:color="auto" w:fill="auto"/>
          </w:tcPr>
          <w:p w:rsidR="009951C6" w:rsidRPr="00951F3B" w:rsidRDefault="009951C6" w:rsidP="00280083">
            <w:pPr>
              <w:suppressAutoHyphens w:val="0"/>
              <w:spacing w:line="360" w:lineRule="auto"/>
              <w:jc w:val="center"/>
              <w:rPr>
                <w:sz w:val="18"/>
                <w:szCs w:val="18"/>
                <w:lang w:val="en-GB" w:eastAsia="de-DE"/>
              </w:rPr>
            </w:pPr>
            <w:r w:rsidRPr="00951F3B">
              <w:rPr>
                <w:sz w:val="18"/>
                <w:szCs w:val="18"/>
                <w:lang w:val="en-GB" w:eastAsia="de-DE"/>
              </w:rPr>
              <w:t>4.49</w:t>
            </w:r>
          </w:p>
          <w:p w:rsidR="009951C6" w:rsidRPr="00951F3B" w:rsidRDefault="009951C6" w:rsidP="00280083">
            <w:pPr>
              <w:suppressAutoHyphens w:val="0"/>
              <w:spacing w:line="360" w:lineRule="auto"/>
              <w:jc w:val="center"/>
              <w:rPr>
                <w:sz w:val="18"/>
                <w:szCs w:val="18"/>
                <w:lang w:val="en-GB" w:eastAsia="de-DE"/>
              </w:rPr>
            </w:pPr>
            <w:r w:rsidRPr="00951F3B">
              <w:rPr>
                <w:sz w:val="14"/>
                <w:szCs w:val="18"/>
                <w:lang w:val="en-GB" w:eastAsia="de-DE"/>
              </w:rPr>
              <w:t>(2.81-7.17)</w:t>
            </w:r>
          </w:p>
        </w:tc>
        <w:tc>
          <w:tcPr>
            <w:tcW w:w="907" w:type="dxa"/>
            <w:tcBorders>
              <w:top w:val="nil"/>
              <w:bottom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7.19</w:t>
            </w:r>
          </w:p>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4"/>
                <w:lang w:val="en-GB"/>
              </w:rPr>
              <w:t>(4.37-11.8)</w:t>
            </w:r>
          </w:p>
        </w:tc>
        <w:tc>
          <w:tcPr>
            <w:tcW w:w="907" w:type="dxa"/>
            <w:tcBorders>
              <w:top w:val="nil"/>
              <w:bottom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6.10</w:t>
            </w:r>
          </w:p>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4"/>
                <w:lang w:val="en-GB"/>
              </w:rPr>
              <w:t>(3.88-9.59)</w:t>
            </w:r>
          </w:p>
        </w:tc>
        <w:tc>
          <w:tcPr>
            <w:tcW w:w="907" w:type="dxa"/>
            <w:tcBorders>
              <w:top w:val="nil"/>
              <w:bottom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7.74</w:t>
            </w:r>
          </w:p>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4"/>
                <w:lang w:val="en-GB"/>
              </w:rPr>
              <w:t>(6.3-9.78)</w:t>
            </w:r>
          </w:p>
        </w:tc>
        <w:tc>
          <w:tcPr>
            <w:tcW w:w="907" w:type="dxa"/>
            <w:tcBorders>
              <w:top w:val="nil"/>
              <w:bottom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10.3</w:t>
            </w:r>
          </w:p>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4"/>
                <w:lang w:val="en-GB"/>
              </w:rPr>
              <w:t>(6.61-16.2)</w:t>
            </w:r>
          </w:p>
        </w:tc>
        <w:tc>
          <w:tcPr>
            <w:tcW w:w="907" w:type="dxa"/>
            <w:tcBorders>
              <w:top w:val="nil"/>
              <w:bottom w:val="nil"/>
              <w:right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8.47</w:t>
            </w:r>
          </w:p>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4"/>
                <w:lang w:val="en-GB"/>
              </w:rPr>
              <w:t>(7.15-10.0)</w:t>
            </w:r>
          </w:p>
        </w:tc>
        <w:tc>
          <w:tcPr>
            <w:tcW w:w="712" w:type="dxa"/>
            <w:tcBorders>
              <w:top w:val="nil"/>
              <w:bottom w:val="nil"/>
              <w:right w:val="nil"/>
            </w:tcBorders>
          </w:tcPr>
          <w:p w:rsidR="009951C6" w:rsidRPr="00951F3B" w:rsidRDefault="009951C6" w:rsidP="00280083">
            <w:pPr>
              <w:pStyle w:val="NoSpacing"/>
              <w:spacing w:line="360" w:lineRule="auto"/>
              <w:jc w:val="center"/>
              <w:rPr>
                <w:rFonts w:ascii="Times New Roman" w:eastAsia="Calibri" w:hAnsi="Times New Roman"/>
                <w:sz w:val="18"/>
                <w:szCs w:val="18"/>
                <w:lang w:val="en-GB"/>
              </w:rPr>
            </w:pPr>
            <w:r w:rsidRPr="00951F3B">
              <w:rPr>
                <w:rFonts w:ascii="Times New Roman" w:eastAsia="Calibri" w:hAnsi="Times New Roman"/>
                <w:sz w:val="18"/>
                <w:szCs w:val="18"/>
                <w:lang w:val="en-GB"/>
              </w:rPr>
              <w:t>35.5</w:t>
            </w:r>
          </w:p>
        </w:tc>
      </w:tr>
      <w:tr w:rsidR="009951C6" w:rsidRPr="00951F3B" w:rsidTr="00280083">
        <w:trPr>
          <w:trHeight w:val="243"/>
        </w:trPr>
        <w:tc>
          <w:tcPr>
            <w:tcW w:w="1304" w:type="dxa"/>
            <w:tcBorders>
              <w:top w:val="nil"/>
              <w:left w:val="nil"/>
            </w:tcBorders>
            <w:shd w:val="clear" w:color="auto" w:fill="auto"/>
          </w:tcPr>
          <w:p w:rsidR="009951C6" w:rsidRPr="00951F3B" w:rsidRDefault="009951C6" w:rsidP="00280083">
            <w:pPr>
              <w:spacing w:line="360" w:lineRule="auto"/>
              <w:jc w:val="center"/>
              <w:rPr>
                <w:rFonts w:eastAsia="Calibri"/>
                <w:sz w:val="18"/>
                <w:szCs w:val="18"/>
                <w:lang w:val="en-GB"/>
              </w:rPr>
            </w:pPr>
            <w:r w:rsidRPr="00951F3B">
              <w:rPr>
                <w:rFonts w:eastAsia="Calibri"/>
                <w:sz w:val="18"/>
                <w:szCs w:val="18"/>
                <w:lang w:val="en-GB"/>
              </w:rPr>
              <w:t>EC</w:t>
            </w:r>
            <w:r w:rsidRPr="00951F3B">
              <w:rPr>
                <w:rFonts w:eastAsia="Calibri"/>
                <w:sz w:val="18"/>
                <w:szCs w:val="18"/>
                <w:vertAlign w:val="subscript"/>
                <w:lang w:val="en-GB"/>
              </w:rPr>
              <w:t>50</w:t>
            </w:r>
          </w:p>
        </w:tc>
        <w:tc>
          <w:tcPr>
            <w:tcW w:w="907" w:type="dxa"/>
            <w:tcBorders>
              <w:top w:val="nil"/>
            </w:tcBorders>
            <w:shd w:val="clear" w:color="auto" w:fill="auto"/>
          </w:tcPr>
          <w:p w:rsidR="009951C6" w:rsidRPr="00951F3B" w:rsidRDefault="009951C6" w:rsidP="00280083">
            <w:pPr>
              <w:suppressAutoHyphens w:val="0"/>
              <w:spacing w:line="360" w:lineRule="auto"/>
              <w:jc w:val="center"/>
              <w:rPr>
                <w:sz w:val="18"/>
                <w:lang w:val="en-GB" w:eastAsia="de-DE"/>
              </w:rPr>
            </w:pPr>
            <w:r w:rsidRPr="00951F3B">
              <w:rPr>
                <w:sz w:val="18"/>
                <w:szCs w:val="22"/>
                <w:lang w:val="en-GB" w:eastAsia="de-DE"/>
              </w:rPr>
              <w:t>11.3</w:t>
            </w:r>
          </w:p>
          <w:p w:rsidR="009951C6" w:rsidRPr="00951F3B" w:rsidRDefault="009951C6" w:rsidP="00280083">
            <w:pPr>
              <w:suppressAutoHyphens w:val="0"/>
              <w:spacing w:line="360" w:lineRule="auto"/>
              <w:jc w:val="center"/>
              <w:rPr>
                <w:sz w:val="18"/>
                <w:lang w:val="en-GB" w:eastAsia="de-DE"/>
              </w:rPr>
            </w:pPr>
            <w:r w:rsidRPr="00951F3B">
              <w:rPr>
                <w:sz w:val="14"/>
                <w:szCs w:val="22"/>
                <w:lang w:val="en-GB" w:eastAsia="de-DE"/>
              </w:rPr>
              <w:t>(9.48-13.2)</w:t>
            </w:r>
          </w:p>
        </w:tc>
        <w:tc>
          <w:tcPr>
            <w:tcW w:w="907" w:type="dxa"/>
            <w:tcBorders>
              <w:top w:val="nil"/>
            </w:tcBorders>
            <w:shd w:val="clear" w:color="auto" w:fill="auto"/>
          </w:tcPr>
          <w:p w:rsidR="009951C6" w:rsidRPr="00951F3B" w:rsidRDefault="009951C6" w:rsidP="00280083">
            <w:pPr>
              <w:suppressAutoHyphens w:val="0"/>
              <w:spacing w:line="360" w:lineRule="auto"/>
              <w:jc w:val="center"/>
              <w:rPr>
                <w:i/>
                <w:sz w:val="18"/>
                <w:lang w:val="en-GB" w:eastAsia="de-DE"/>
              </w:rPr>
            </w:pPr>
            <w:r w:rsidRPr="00951F3B">
              <w:rPr>
                <w:i/>
                <w:sz w:val="18"/>
                <w:szCs w:val="22"/>
                <w:lang w:val="en-GB" w:eastAsia="de-DE"/>
              </w:rPr>
              <w:t>4.59</w:t>
            </w:r>
          </w:p>
          <w:p w:rsidR="009951C6" w:rsidRPr="00951F3B" w:rsidRDefault="009951C6" w:rsidP="00280083">
            <w:pPr>
              <w:suppressAutoHyphens w:val="0"/>
              <w:spacing w:line="360" w:lineRule="auto"/>
              <w:jc w:val="center"/>
              <w:rPr>
                <w:i/>
                <w:sz w:val="18"/>
                <w:lang w:val="en-GB" w:eastAsia="de-DE"/>
              </w:rPr>
            </w:pPr>
            <w:r w:rsidRPr="00951F3B">
              <w:rPr>
                <w:i/>
                <w:sz w:val="14"/>
                <w:szCs w:val="22"/>
                <w:lang w:val="en-GB" w:eastAsia="de-DE"/>
              </w:rPr>
              <w:t>(3.00-7.02)</w:t>
            </w:r>
          </w:p>
        </w:tc>
        <w:tc>
          <w:tcPr>
            <w:tcW w:w="907" w:type="dxa"/>
            <w:tcBorders>
              <w:top w:val="nil"/>
            </w:tcBorders>
            <w:shd w:val="clear" w:color="auto" w:fill="auto"/>
          </w:tcPr>
          <w:p w:rsidR="009951C6" w:rsidRPr="00951F3B" w:rsidRDefault="009951C6" w:rsidP="00280083">
            <w:pPr>
              <w:suppressAutoHyphens w:val="0"/>
              <w:spacing w:line="360" w:lineRule="auto"/>
              <w:jc w:val="center"/>
              <w:rPr>
                <w:sz w:val="18"/>
                <w:lang w:val="en-GB" w:eastAsia="de-DE"/>
              </w:rPr>
            </w:pPr>
            <w:r w:rsidRPr="00951F3B">
              <w:rPr>
                <w:sz w:val="18"/>
                <w:szCs w:val="22"/>
                <w:lang w:val="en-GB" w:eastAsia="de-DE"/>
              </w:rPr>
              <w:t>11.4</w:t>
            </w:r>
          </w:p>
          <w:p w:rsidR="009951C6" w:rsidRPr="00951F3B" w:rsidRDefault="009951C6" w:rsidP="00280083">
            <w:pPr>
              <w:suppressAutoHyphens w:val="0"/>
              <w:spacing w:line="360" w:lineRule="auto"/>
              <w:jc w:val="center"/>
              <w:rPr>
                <w:sz w:val="18"/>
                <w:lang w:val="en-GB" w:eastAsia="de-DE"/>
              </w:rPr>
            </w:pPr>
            <w:r w:rsidRPr="00951F3B">
              <w:rPr>
                <w:sz w:val="14"/>
                <w:szCs w:val="22"/>
                <w:lang w:val="en-GB" w:eastAsia="de-DE"/>
              </w:rPr>
              <w:t>(9.30-13.9)</w:t>
            </w:r>
          </w:p>
        </w:tc>
        <w:tc>
          <w:tcPr>
            <w:tcW w:w="907" w:type="dxa"/>
            <w:tcBorders>
              <w:top w:val="nil"/>
            </w:tcBorders>
            <w:shd w:val="clear" w:color="auto" w:fill="auto"/>
          </w:tcPr>
          <w:p w:rsidR="009951C6" w:rsidRPr="00951F3B" w:rsidRDefault="009951C6" w:rsidP="00280083">
            <w:pPr>
              <w:suppressAutoHyphens w:val="0"/>
              <w:spacing w:line="360" w:lineRule="auto"/>
              <w:jc w:val="center"/>
              <w:rPr>
                <w:sz w:val="18"/>
                <w:lang w:val="en-GB" w:eastAsia="de-DE"/>
              </w:rPr>
            </w:pPr>
            <w:r w:rsidRPr="00951F3B">
              <w:rPr>
                <w:sz w:val="18"/>
                <w:szCs w:val="22"/>
                <w:lang w:val="en-GB" w:eastAsia="de-DE"/>
              </w:rPr>
              <w:t>13.2</w:t>
            </w:r>
          </w:p>
          <w:p w:rsidR="009951C6" w:rsidRPr="00951F3B" w:rsidRDefault="009951C6" w:rsidP="00280083">
            <w:pPr>
              <w:suppressAutoHyphens w:val="0"/>
              <w:spacing w:line="360" w:lineRule="auto"/>
              <w:jc w:val="center"/>
              <w:rPr>
                <w:sz w:val="18"/>
                <w:lang w:val="en-GB" w:eastAsia="de-DE"/>
              </w:rPr>
            </w:pPr>
            <w:r w:rsidRPr="00951F3B">
              <w:rPr>
                <w:sz w:val="14"/>
                <w:szCs w:val="22"/>
                <w:lang w:val="en-GB" w:eastAsia="de-DE"/>
              </w:rPr>
              <w:t>(10.8-16.0)</w:t>
            </w:r>
          </w:p>
        </w:tc>
        <w:tc>
          <w:tcPr>
            <w:tcW w:w="907" w:type="dxa"/>
            <w:tcBorders>
              <w:top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18.5</w:t>
            </w:r>
          </w:p>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4"/>
                <w:lang w:val="en-GB"/>
              </w:rPr>
              <w:t>(15.1-22.5)</w:t>
            </w:r>
          </w:p>
        </w:tc>
        <w:tc>
          <w:tcPr>
            <w:tcW w:w="907" w:type="dxa"/>
            <w:tcBorders>
              <w:top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13.5</w:t>
            </w:r>
          </w:p>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4"/>
                <w:lang w:val="en-GB"/>
              </w:rPr>
              <w:t>(11.3-16.0)</w:t>
            </w:r>
          </w:p>
        </w:tc>
        <w:tc>
          <w:tcPr>
            <w:tcW w:w="907" w:type="dxa"/>
            <w:tcBorders>
              <w:top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13.1</w:t>
            </w:r>
          </w:p>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4"/>
                <w:lang w:val="en-GB"/>
              </w:rPr>
              <w:t>(11.6-14.8)</w:t>
            </w:r>
          </w:p>
        </w:tc>
        <w:tc>
          <w:tcPr>
            <w:tcW w:w="907" w:type="dxa"/>
            <w:tcBorders>
              <w:top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19.4</w:t>
            </w:r>
          </w:p>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4"/>
                <w:lang w:val="en-GB"/>
              </w:rPr>
              <w:t>(13.5-27.9)</w:t>
            </w:r>
          </w:p>
        </w:tc>
        <w:tc>
          <w:tcPr>
            <w:tcW w:w="907" w:type="dxa"/>
            <w:tcBorders>
              <w:top w:val="nil"/>
              <w:right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12.8</w:t>
            </w:r>
          </w:p>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4"/>
                <w:lang w:val="en-GB"/>
              </w:rPr>
              <w:t>(11.4-14.3)</w:t>
            </w:r>
          </w:p>
        </w:tc>
        <w:tc>
          <w:tcPr>
            <w:tcW w:w="712" w:type="dxa"/>
            <w:tcBorders>
              <w:top w:val="nil"/>
              <w:right w:val="nil"/>
            </w:tcBorders>
          </w:tcPr>
          <w:p w:rsidR="009951C6" w:rsidRPr="00951F3B" w:rsidRDefault="009951C6" w:rsidP="00280083">
            <w:pPr>
              <w:pStyle w:val="NoSpacing"/>
              <w:spacing w:line="360" w:lineRule="auto"/>
              <w:jc w:val="center"/>
              <w:rPr>
                <w:rFonts w:ascii="Times New Roman" w:eastAsia="Calibri" w:hAnsi="Times New Roman"/>
                <w:sz w:val="18"/>
                <w:szCs w:val="18"/>
                <w:lang w:val="en-GB"/>
              </w:rPr>
            </w:pPr>
            <w:r w:rsidRPr="00951F3B">
              <w:rPr>
                <w:rFonts w:ascii="Times New Roman" w:eastAsia="Calibri" w:hAnsi="Times New Roman"/>
                <w:sz w:val="18"/>
                <w:szCs w:val="18"/>
                <w:lang w:val="en-GB"/>
              </w:rPr>
              <w:t>21.8</w:t>
            </w:r>
          </w:p>
        </w:tc>
      </w:tr>
    </w:tbl>
    <w:p w:rsidR="009951C6" w:rsidRPr="00951F3B" w:rsidRDefault="009951C6" w:rsidP="00280083">
      <w:pPr>
        <w:spacing w:line="480" w:lineRule="auto"/>
        <w:jc w:val="both"/>
        <w:rPr>
          <w:lang w:val="en-GB"/>
        </w:rPr>
      </w:pPr>
    </w:p>
    <w:p w:rsidR="009951C6" w:rsidRPr="00951F3B" w:rsidRDefault="009951C6" w:rsidP="00280083">
      <w:pPr>
        <w:numPr>
          <w:ilvl w:val="1"/>
          <w:numId w:val="45"/>
        </w:numPr>
        <w:spacing w:line="480" w:lineRule="auto"/>
        <w:jc w:val="both"/>
        <w:rPr>
          <w:i/>
          <w:lang w:val="en-GB"/>
        </w:rPr>
      </w:pPr>
      <w:r w:rsidRPr="00951F3B">
        <w:rPr>
          <w:i/>
          <w:lang w:val="en-GB"/>
        </w:rPr>
        <w:t>Effects of tributyltin on P. antipodarum</w:t>
      </w:r>
    </w:p>
    <w:p w:rsidR="009951C6" w:rsidRPr="00951F3B" w:rsidRDefault="009951C6" w:rsidP="00280083">
      <w:pPr>
        <w:spacing w:line="480" w:lineRule="auto"/>
        <w:jc w:val="both"/>
        <w:rPr>
          <w:lang w:val="en-GB"/>
        </w:rPr>
      </w:pPr>
      <w:r w:rsidRPr="00951F3B">
        <w:rPr>
          <w:lang w:val="en-GB"/>
        </w:rPr>
        <w:t xml:space="preserve">In the exposure groups of laboratories </w:t>
      </w:r>
      <w:r w:rsidR="00794E5B" w:rsidRPr="00951F3B">
        <w:rPr>
          <w:lang w:val="en-GB"/>
        </w:rPr>
        <w:t xml:space="preserve">reporting valid test results </w:t>
      </w:r>
      <w:r w:rsidRPr="00951F3B">
        <w:rPr>
          <w:lang w:val="en-GB"/>
        </w:rPr>
        <w:t>with a maximum nominal concentration of 400 ng TBT-Sn/L</w:t>
      </w:r>
      <w:r w:rsidR="00033871">
        <w:rPr>
          <w:lang w:val="en-GB"/>
        </w:rPr>
        <w:t>,</w:t>
      </w:r>
      <w:r w:rsidRPr="00951F3B">
        <w:rPr>
          <w:lang w:val="en-GB"/>
        </w:rPr>
        <w:t xml:space="preserve"> snail mortality was ≤5%. Laboratory 2Ab tested a </w:t>
      </w:r>
      <w:r w:rsidRPr="00951F3B">
        <w:rPr>
          <w:lang w:val="en-GB"/>
        </w:rPr>
        <w:lastRenderedPageBreak/>
        <w:t>maximum nominal concentration of 1000 ng</w:t>
      </w:r>
      <w:r w:rsidR="007526B3">
        <w:rPr>
          <w:lang w:val="en-GB"/>
        </w:rPr>
        <w:t xml:space="preserve"> </w:t>
      </w:r>
      <w:r w:rsidR="00AC4A4C">
        <w:rPr>
          <w:lang w:val="en-GB"/>
        </w:rPr>
        <w:t>TBT-Sn</w:t>
      </w:r>
      <w:r w:rsidRPr="00951F3B">
        <w:rPr>
          <w:lang w:val="en-GB"/>
        </w:rPr>
        <w:t>/L. At this concentration</w:t>
      </w:r>
      <w:r w:rsidR="00033871">
        <w:rPr>
          <w:lang w:val="en-GB"/>
        </w:rPr>
        <w:t>,</w:t>
      </w:r>
      <w:r w:rsidRPr="00951F3B">
        <w:rPr>
          <w:lang w:val="en-GB"/>
        </w:rPr>
        <w:t xml:space="preserve"> mortality was significantly increased (87.5%, p&lt;0</w:t>
      </w:r>
      <w:r w:rsidR="00FC71E9" w:rsidRPr="00951F3B">
        <w:rPr>
          <w:lang w:val="en-GB"/>
        </w:rPr>
        <w:t>.00</w:t>
      </w:r>
      <w:r w:rsidRPr="00951F3B">
        <w:rPr>
          <w:lang w:val="en-GB"/>
        </w:rPr>
        <w:t xml:space="preserve">1). </w:t>
      </w:r>
    </w:p>
    <w:p w:rsidR="009951C6" w:rsidRPr="00951F3B" w:rsidRDefault="009951C6" w:rsidP="00280083">
      <w:pPr>
        <w:spacing w:line="480" w:lineRule="auto"/>
        <w:jc w:val="both"/>
        <w:rPr>
          <w:lang w:val="en-GB"/>
        </w:rPr>
      </w:pPr>
      <w:r w:rsidRPr="00951F3B">
        <w:rPr>
          <w:lang w:val="en-GB"/>
        </w:rPr>
        <w:t>Figure 2 shows the results of the validation studies from the 7 laboratories</w:t>
      </w:r>
      <w:r w:rsidR="00794E5B" w:rsidRPr="000962C6">
        <w:rPr>
          <w:lang w:val="en-GB"/>
        </w:rPr>
        <w:t xml:space="preserve"> </w:t>
      </w:r>
      <w:r w:rsidR="00794E5B" w:rsidRPr="00951F3B">
        <w:rPr>
          <w:lang w:val="en-GB"/>
        </w:rPr>
        <w:t>reporting valid test results</w:t>
      </w:r>
      <w:r w:rsidRPr="00951F3B">
        <w:rPr>
          <w:lang w:val="en-GB"/>
        </w:rPr>
        <w:t xml:space="preserve">. In every experiment a significant decrease </w:t>
      </w:r>
      <w:r w:rsidR="00AC4A4C">
        <w:rPr>
          <w:lang w:val="en-GB"/>
        </w:rPr>
        <w:t>in the</w:t>
      </w:r>
      <w:r w:rsidR="00AC4A4C" w:rsidRPr="00951F3B">
        <w:rPr>
          <w:lang w:val="en-GB"/>
        </w:rPr>
        <w:t xml:space="preserve"> </w:t>
      </w:r>
      <w:r w:rsidR="00794E5B" w:rsidRPr="00951F3B">
        <w:rPr>
          <w:lang w:val="en-GB"/>
        </w:rPr>
        <w:t xml:space="preserve">embryo numbers </w:t>
      </w:r>
      <w:r w:rsidRPr="00951F3B">
        <w:rPr>
          <w:lang w:val="en-GB"/>
        </w:rPr>
        <w:t xml:space="preserve">occurred in a </w:t>
      </w:r>
      <w:r w:rsidR="00794E5B" w:rsidRPr="00951F3B">
        <w:rPr>
          <w:lang w:val="en-GB"/>
        </w:rPr>
        <w:t>concentration</w:t>
      </w:r>
      <w:r w:rsidRPr="00951F3B">
        <w:rPr>
          <w:lang w:val="en-GB"/>
        </w:rPr>
        <w:t>-response manner. Obtained effect concentrations EC</w:t>
      </w:r>
      <w:r w:rsidRPr="00951F3B">
        <w:rPr>
          <w:vertAlign w:val="subscript"/>
          <w:lang w:val="en-GB"/>
        </w:rPr>
        <w:t>10</w:t>
      </w:r>
      <w:r w:rsidRPr="00951F3B">
        <w:rPr>
          <w:lang w:val="en-GB"/>
        </w:rPr>
        <w:t>, EC</w:t>
      </w:r>
      <w:r w:rsidRPr="00951F3B">
        <w:rPr>
          <w:vertAlign w:val="subscript"/>
          <w:lang w:val="en-GB"/>
        </w:rPr>
        <w:t>50</w:t>
      </w:r>
      <w:r w:rsidRPr="00951F3B">
        <w:rPr>
          <w:lang w:val="en-GB"/>
        </w:rPr>
        <w:t xml:space="preserve">, NOEC and LOEC are summarised in </w:t>
      </w:r>
      <w:r w:rsidR="0061433F">
        <w:rPr>
          <w:lang w:val="en-GB"/>
        </w:rPr>
        <w:t>T</w:t>
      </w:r>
      <w:r w:rsidR="0061433F" w:rsidRPr="00951F3B">
        <w:rPr>
          <w:lang w:val="en-GB"/>
        </w:rPr>
        <w:t xml:space="preserve">able </w:t>
      </w:r>
      <w:r w:rsidRPr="00951F3B">
        <w:rPr>
          <w:lang w:val="en-GB"/>
        </w:rPr>
        <w:t>6. NOECs showed a 5.98-fold difference between laboratories. Calculated EC</w:t>
      </w:r>
      <w:r w:rsidRPr="00951F3B">
        <w:rPr>
          <w:vertAlign w:val="subscript"/>
          <w:lang w:val="en-GB"/>
        </w:rPr>
        <w:t xml:space="preserve">x </w:t>
      </w:r>
      <w:r w:rsidRPr="00951F3B">
        <w:rPr>
          <w:lang w:val="en-GB"/>
        </w:rPr>
        <w:t xml:space="preserve">values are similar and most of </w:t>
      </w:r>
      <w:r w:rsidR="00EB254C">
        <w:rPr>
          <w:lang w:val="en-GB"/>
        </w:rPr>
        <w:t xml:space="preserve">the </w:t>
      </w:r>
      <w:r w:rsidRPr="00951F3B">
        <w:rPr>
          <w:lang w:val="en-GB"/>
        </w:rPr>
        <w:t>95%-confidence intervals are overlapping. EC</w:t>
      </w:r>
      <w:r w:rsidRPr="00951F3B">
        <w:rPr>
          <w:vertAlign w:val="subscript"/>
          <w:lang w:val="en-GB"/>
        </w:rPr>
        <w:t>50</w:t>
      </w:r>
      <w:r w:rsidRPr="00951F3B">
        <w:rPr>
          <w:lang w:val="en-GB"/>
        </w:rPr>
        <w:t xml:space="preserve"> value fold difference was 1.79</w:t>
      </w:r>
      <w:r w:rsidR="00AC4A4C">
        <w:rPr>
          <w:lang w:val="en-GB"/>
        </w:rPr>
        <w:t>,</w:t>
      </w:r>
      <w:r w:rsidRPr="00951F3B">
        <w:rPr>
          <w:lang w:val="en-GB"/>
        </w:rPr>
        <w:t xml:space="preserve"> with an inter</w:t>
      </w:r>
      <w:r w:rsidR="00B61A3A">
        <w:rPr>
          <w:lang w:val="en-GB"/>
        </w:rPr>
        <w:t>-</w:t>
      </w:r>
      <w:r w:rsidRPr="00951F3B">
        <w:rPr>
          <w:lang w:val="en-GB"/>
        </w:rPr>
        <w:t xml:space="preserve">laboratory coefficient of variation of 39.3%. </w:t>
      </w:r>
    </w:p>
    <w:p w:rsidR="009951C6" w:rsidRPr="00951F3B" w:rsidRDefault="009951C6" w:rsidP="00280083">
      <w:pPr>
        <w:spacing w:line="480" w:lineRule="auto"/>
        <w:jc w:val="both"/>
        <w:rPr>
          <w:lang w:val="en-GB"/>
        </w:rPr>
      </w:pPr>
    </w:p>
    <w:p w:rsidR="009951C6" w:rsidRPr="00951F3B" w:rsidRDefault="00726A23" w:rsidP="00280083">
      <w:pPr>
        <w:spacing w:line="480" w:lineRule="auto"/>
        <w:jc w:val="both"/>
        <w:rPr>
          <w:lang w:val="en-GB"/>
        </w:rPr>
      </w:pPr>
      <w:r w:rsidRPr="00951F3B">
        <w:rPr>
          <w:noProof/>
          <w:lang w:val="en-GB" w:eastAsia="zh-CN"/>
        </w:rPr>
        <w:drawing>
          <wp:inline distT="0" distB="0" distL="0" distR="0">
            <wp:extent cx="5753100" cy="4114800"/>
            <wp:effectExtent l="0" t="0" r="0" b="0"/>
            <wp:docPr id="2" name="Bild 2" descr="TBT embryo numbers validation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T embryo numbers validation I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4114800"/>
                    </a:xfrm>
                    <a:prstGeom prst="rect">
                      <a:avLst/>
                    </a:prstGeom>
                    <a:noFill/>
                    <a:ln>
                      <a:noFill/>
                    </a:ln>
                  </pic:spPr>
                </pic:pic>
              </a:graphicData>
            </a:graphic>
          </wp:inline>
        </w:drawing>
      </w:r>
    </w:p>
    <w:p w:rsidR="009951C6" w:rsidRPr="00951F3B" w:rsidRDefault="009951C6" w:rsidP="00280083">
      <w:pPr>
        <w:jc w:val="both"/>
        <w:rPr>
          <w:lang w:val="en-GB"/>
        </w:rPr>
      </w:pPr>
      <w:r w:rsidRPr="00951F3B">
        <w:rPr>
          <w:sz w:val="20"/>
          <w:lang w:val="en-GB"/>
        </w:rPr>
        <w:t xml:space="preserve">Figure 2: Total embryo numbers (mean ± standard deviation (SD)) after 28 days exposure to measured TBT concentrations in laboratories </w:t>
      </w:r>
      <w:r w:rsidR="00794E5B" w:rsidRPr="00951F3B">
        <w:rPr>
          <w:sz w:val="20"/>
          <w:lang w:val="en-GB"/>
        </w:rPr>
        <w:t xml:space="preserve">reporting valid test results </w:t>
      </w:r>
      <w:r w:rsidRPr="00951F3B">
        <w:rPr>
          <w:sz w:val="20"/>
          <w:lang w:val="en-GB"/>
        </w:rPr>
        <w:t>of validation II (n = 4 replicates per group,</w:t>
      </w:r>
      <w:r w:rsidRPr="000962C6">
        <w:rPr>
          <w:lang w:val="en-GB"/>
        </w:rPr>
        <w:t xml:space="preserve"> </w:t>
      </w:r>
      <w:r w:rsidRPr="00951F3B">
        <w:rPr>
          <w:sz w:val="20"/>
          <w:lang w:val="en-GB"/>
        </w:rPr>
        <w:t>8 for merged controls)</w:t>
      </w:r>
    </w:p>
    <w:p w:rsidR="009951C6" w:rsidRPr="00951F3B" w:rsidRDefault="009951C6" w:rsidP="00280083">
      <w:pPr>
        <w:spacing w:line="480" w:lineRule="auto"/>
        <w:jc w:val="both"/>
        <w:rPr>
          <w:lang w:val="en-GB"/>
        </w:rPr>
      </w:pPr>
    </w:p>
    <w:p w:rsidR="009951C6" w:rsidRPr="00951F3B" w:rsidRDefault="009951C6" w:rsidP="00280083">
      <w:pPr>
        <w:suppressAutoHyphens w:val="0"/>
        <w:jc w:val="both"/>
        <w:rPr>
          <w:sz w:val="20"/>
          <w:szCs w:val="22"/>
          <w:lang w:val="en-GB" w:eastAsia="de-DE"/>
        </w:rPr>
      </w:pPr>
      <w:r w:rsidRPr="00951F3B">
        <w:rPr>
          <w:sz w:val="20"/>
          <w:szCs w:val="22"/>
          <w:lang w:val="en-GB" w:eastAsia="de-DE"/>
        </w:rPr>
        <w:lastRenderedPageBreak/>
        <w:t>Table 6</w:t>
      </w:r>
      <w:r w:rsidRPr="00951F3B">
        <w:rPr>
          <w:b/>
          <w:sz w:val="20"/>
          <w:szCs w:val="22"/>
          <w:lang w:val="en-GB" w:eastAsia="de-DE"/>
        </w:rPr>
        <w:t>:</w:t>
      </w:r>
      <w:r w:rsidRPr="00951F3B">
        <w:rPr>
          <w:sz w:val="20"/>
          <w:szCs w:val="22"/>
          <w:lang w:val="en-GB" w:eastAsia="de-DE"/>
        </w:rPr>
        <w:t xml:space="preserve"> Effect concentrations (NOEC, LOEC, EC</w:t>
      </w:r>
      <w:r w:rsidRPr="00951F3B">
        <w:rPr>
          <w:sz w:val="20"/>
          <w:szCs w:val="22"/>
          <w:vertAlign w:val="subscript"/>
          <w:lang w:val="en-GB" w:eastAsia="de-DE"/>
        </w:rPr>
        <w:t>10</w:t>
      </w:r>
      <w:r w:rsidRPr="00951F3B">
        <w:rPr>
          <w:sz w:val="20"/>
          <w:szCs w:val="22"/>
          <w:lang w:val="en-GB" w:eastAsia="de-DE"/>
        </w:rPr>
        <w:t xml:space="preserve"> and EC</w:t>
      </w:r>
      <w:r w:rsidRPr="00951F3B">
        <w:rPr>
          <w:sz w:val="20"/>
          <w:szCs w:val="22"/>
          <w:vertAlign w:val="subscript"/>
          <w:lang w:val="en-GB" w:eastAsia="de-DE"/>
        </w:rPr>
        <w:t>50</w:t>
      </w:r>
      <w:r w:rsidRPr="00951F3B">
        <w:rPr>
          <w:sz w:val="20"/>
          <w:szCs w:val="22"/>
          <w:lang w:val="en-GB" w:eastAsia="de-DE"/>
        </w:rPr>
        <w:t xml:space="preserve"> with 95%-confidence intervals in brackets) for total embryo number based on time weighted means of measured concentrations in ng TBT-Sn/L and corresponding coefficients of variation (CV%).</w:t>
      </w:r>
    </w:p>
    <w:p w:rsidR="009951C6" w:rsidRPr="00951F3B" w:rsidRDefault="009951C6" w:rsidP="00280083">
      <w:pPr>
        <w:suppressAutoHyphens w:val="0"/>
        <w:jc w:val="both"/>
        <w:rPr>
          <w:sz w:val="20"/>
          <w:szCs w:val="22"/>
          <w:lang w:val="en-GB" w:eastAsia="de-D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938"/>
        <w:gridCol w:w="937"/>
        <w:gridCol w:w="937"/>
        <w:gridCol w:w="937"/>
        <w:gridCol w:w="937"/>
        <w:gridCol w:w="937"/>
        <w:gridCol w:w="937"/>
        <w:gridCol w:w="652"/>
      </w:tblGrid>
      <w:tr w:rsidR="009951C6" w:rsidRPr="00951F3B" w:rsidTr="00280083">
        <w:trPr>
          <w:trHeight w:val="273"/>
        </w:trPr>
        <w:tc>
          <w:tcPr>
            <w:tcW w:w="1293" w:type="dxa"/>
            <w:vMerge w:val="restart"/>
            <w:tcBorders>
              <w:left w:val="nil"/>
              <w:right w:val="nil"/>
              <w:tl2br w:val="nil"/>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Nominal concentration</w:t>
            </w:r>
          </w:p>
        </w:tc>
        <w:tc>
          <w:tcPr>
            <w:tcW w:w="6560" w:type="dxa"/>
            <w:gridSpan w:val="7"/>
            <w:tcBorders>
              <w:left w:val="nil"/>
              <w:bottom w:val="nil"/>
              <w:right w:val="single" w:sz="4" w:space="0" w:color="auto"/>
            </w:tcBorders>
            <w:shd w:val="clear" w:color="auto" w:fill="auto"/>
          </w:tcPr>
          <w:p w:rsidR="009951C6" w:rsidRPr="00951F3B" w:rsidRDefault="009951C6" w:rsidP="00280083">
            <w:pPr>
              <w:spacing w:before="120" w:after="60"/>
              <w:jc w:val="center"/>
              <w:rPr>
                <w:rFonts w:eastAsia="Calibri"/>
                <w:sz w:val="18"/>
                <w:szCs w:val="18"/>
                <w:lang w:val="en-GB"/>
              </w:rPr>
            </w:pPr>
            <w:r w:rsidRPr="00951F3B">
              <w:rPr>
                <w:rFonts w:eastAsia="Calibri"/>
                <w:sz w:val="18"/>
                <w:szCs w:val="18"/>
                <w:lang w:val="en-GB"/>
              </w:rPr>
              <w:t>Laboratories</w:t>
            </w:r>
          </w:p>
        </w:tc>
        <w:tc>
          <w:tcPr>
            <w:tcW w:w="652" w:type="dxa"/>
            <w:tcBorders>
              <w:left w:val="single" w:sz="4" w:space="0" w:color="auto"/>
              <w:bottom w:val="nil"/>
              <w:right w:val="nil"/>
            </w:tcBorders>
            <w:vAlign w:val="bottom"/>
          </w:tcPr>
          <w:p w:rsidR="009951C6" w:rsidRPr="00951F3B" w:rsidRDefault="009951C6" w:rsidP="00280083">
            <w:pPr>
              <w:spacing w:before="120" w:after="60"/>
              <w:jc w:val="center"/>
              <w:rPr>
                <w:rFonts w:eastAsia="Calibri"/>
                <w:sz w:val="18"/>
                <w:szCs w:val="18"/>
                <w:lang w:val="en-GB"/>
              </w:rPr>
            </w:pPr>
            <w:r w:rsidRPr="00951F3B">
              <w:rPr>
                <w:rFonts w:eastAsia="Calibri"/>
                <w:sz w:val="18"/>
                <w:szCs w:val="18"/>
                <w:lang w:val="en-GB"/>
              </w:rPr>
              <w:t>CV%</w:t>
            </w:r>
          </w:p>
        </w:tc>
      </w:tr>
      <w:tr w:rsidR="009951C6" w:rsidRPr="00951F3B" w:rsidTr="00280083">
        <w:trPr>
          <w:trHeight w:val="71"/>
        </w:trPr>
        <w:tc>
          <w:tcPr>
            <w:tcW w:w="1293" w:type="dxa"/>
            <w:vMerge/>
            <w:tcBorders>
              <w:left w:val="nil"/>
              <w:bottom w:val="single" w:sz="4" w:space="0" w:color="auto"/>
              <w:tl2br w:val="nil"/>
            </w:tcBorders>
            <w:shd w:val="clear" w:color="auto" w:fill="auto"/>
          </w:tcPr>
          <w:p w:rsidR="009951C6" w:rsidRPr="00951F3B" w:rsidRDefault="009951C6" w:rsidP="00280083">
            <w:pPr>
              <w:jc w:val="center"/>
              <w:rPr>
                <w:rFonts w:eastAsia="Calibri"/>
                <w:sz w:val="18"/>
                <w:szCs w:val="18"/>
                <w:lang w:val="en-GB"/>
              </w:rPr>
            </w:pPr>
          </w:p>
        </w:tc>
        <w:tc>
          <w:tcPr>
            <w:tcW w:w="938"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2Aa</w:t>
            </w:r>
          </w:p>
        </w:tc>
        <w:tc>
          <w:tcPr>
            <w:tcW w:w="937"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2Ab</w:t>
            </w:r>
          </w:p>
        </w:tc>
        <w:tc>
          <w:tcPr>
            <w:tcW w:w="937"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2E</w:t>
            </w:r>
          </w:p>
        </w:tc>
        <w:tc>
          <w:tcPr>
            <w:tcW w:w="937"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2F</w:t>
            </w:r>
          </w:p>
        </w:tc>
        <w:tc>
          <w:tcPr>
            <w:tcW w:w="937"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2G</w:t>
            </w:r>
          </w:p>
        </w:tc>
        <w:tc>
          <w:tcPr>
            <w:tcW w:w="937"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2H</w:t>
            </w:r>
          </w:p>
        </w:tc>
        <w:tc>
          <w:tcPr>
            <w:tcW w:w="937" w:type="dxa"/>
            <w:tcBorders>
              <w:top w:val="nil"/>
              <w:bottom w:val="single" w:sz="4" w:space="0" w:color="auto"/>
            </w:tcBorders>
            <w:shd w:val="clear" w:color="auto" w:fill="auto"/>
          </w:tcPr>
          <w:p w:rsidR="009951C6" w:rsidRPr="00951F3B" w:rsidRDefault="009951C6" w:rsidP="00280083">
            <w:pPr>
              <w:spacing w:before="120"/>
              <w:jc w:val="center"/>
              <w:rPr>
                <w:rFonts w:eastAsia="Calibri"/>
                <w:sz w:val="18"/>
                <w:szCs w:val="18"/>
                <w:lang w:val="en-GB"/>
              </w:rPr>
            </w:pPr>
            <w:r w:rsidRPr="00951F3B">
              <w:rPr>
                <w:rFonts w:eastAsia="Calibri"/>
                <w:sz w:val="18"/>
                <w:szCs w:val="18"/>
                <w:lang w:val="en-GB"/>
              </w:rPr>
              <w:t>2I</w:t>
            </w:r>
          </w:p>
        </w:tc>
        <w:tc>
          <w:tcPr>
            <w:tcW w:w="652" w:type="dxa"/>
            <w:tcBorders>
              <w:top w:val="nil"/>
              <w:bottom w:val="single" w:sz="4" w:space="0" w:color="auto"/>
              <w:right w:val="nil"/>
            </w:tcBorders>
          </w:tcPr>
          <w:p w:rsidR="009951C6" w:rsidRPr="00951F3B" w:rsidRDefault="009951C6" w:rsidP="00280083">
            <w:pPr>
              <w:spacing w:before="120"/>
              <w:rPr>
                <w:rFonts w:eastAsia="Calibri"/>
                <w:sz w:val="18"/>
                <w:szCs w:val="18"/>
                <w:lang w:val="en-GB"/>
              </w:rPr>
            </w:pPr>
          </w:p>
        </w:tc>
      </w:tr>
      <w:tr w:rsidR="009951C6" w:rsidRPr="00951F3B" w:rsidTr="00280083">
        <w:trPr>
          <w:trHeight w:val="214"/>
        </w:trPr>
        <w:tc>
          <w:tcPr>
            <w:tcW w:w="1293" w:type="dxa"/>
            <w:tcBorders>
              <w:left w:val="nil"/>
              <w:bottom w:val="nil"/>
            </w:tcBorders>
            <w:shd w:val="clear" w:color="auto" w:fill="auto"/>
          </w:tcPr>
          <w:p w:rsidR="009951C6" w:rsidRPr="00951F3B" w:rsidRDefault="009951C6" w:rsidP="00280083">
            <w:pPr>
              <w:spacing w:before="60" w:line="360" w:lineRule="auto"/>
              <w:jc w:val="center"/>
              <w:rPr>
                <w:rFonts w:eastAsia="Calibri"/>
                <w:sz w:val="18"/>
                <w:szCs w:val="18"/>
                <w:lang w:val="en-GB"/>
              </w:rPr>
            </w:pPr>
            <w:r w:rsidRPr="00951F3B">
              <w:rPr>
                <w:rFonts w:eastAsia="Calibri"/>
                <w:sz w:val="18"/>
                <w:szCs w:val="18"/>
                <w:lang w:val="en-GB"/>
              </w:rPr>
              <w:t>NOEC</w:t>
            </w:r>
          </w:p>
        </w:tc>
        <w:tc>
          <w:tcPr>
            <w:tcW w:w="938" w:type="dxa"/>
            <w:tcBorders>
              <w:bottom w:val="nil"/>
            </w:tcBorders>
            <w:shd w:val="clear" w:color="auto" w:fill="auto"/>
            <w:vAlign w:val="center"/>
          </w:tcPr>
          <w:p w:rsidR="009951C6" w:rsidRPr="00951F3B" w:rsidRDefault="009951C6" w:rsidP="00280083">
            <w:pPr>
              <w:jc w:val="center"/>
              <w:rPr>
                <w:bCs/>
                <w:color w:val="000000"/>
                <w:sz w:val="18"/>
                <w:lang w:val="en-GB" w:eastAsia="en-GB"/>
              </w:rPr>
            </w:pPr>
            <w:r w:rsidRPr="00951F3B">
              <w:rPr>
                <w:bCs/>
                <w:color w:val="000000"/>
                <w:sz w:val="18"/>
                <w:lang w:val="en-GB" w:eastAsia="en-GB"/>
              </w:rPr>
              <w:t>30.7</w:t>
            </w:r>
          </w:p>
        </w:tc>
        <w:tc>
          <w:tcPr>
            <w:tcW w:w="937" w:type="dxa"/>
            <w:tcBorders>
              <w:bottom w:val="nil"/>
            </w:tcBorders>
            <w:shd w:val="clear" w:color="auto" w:fill="auto"/>
            <w:vAlign w:val="center"/>
          </w:tcPr>
          <w:p w:rsidR="009951C6" w:rsidRPr="00951F3B" w:rsidRDefault="009951C6" w:rsidP="00280083">
            <w:pPr>
              <w:jc w:val="center"/>
              <w:rPr>
                <w:bCs/>
                <w:color w:val="000000"/>
                <w:sz w:val="18"/>
                <w:lang w:val="en-GB" w:eastAsia="en-GB"/>
              </w:rPr>
            </w:pPr>
            <w:r w:rsidRPr="00951F3B">
              <w:rPr>
                <w:bCs/>
                <w:color w:val="000000"/>
                <w:sz w:val="18"/>
                <w:lang w:val="en-GB" w:eastAsia="en-GB"/>
              </w:rPr>
              <w:t>18.6</w:t>
            </w:r>
          </w:p>
        </w:tc>
        <w:tc>
          <w:tcPr>
            <w:tcW w:w="937" w:type="dxa"/>
            <w:tcBorders>
              <w:bottom w:val="nil"/>
            </w:tcBorders>
            <w:shd w:val="clear" w:color="auto" w:fill="auto"/>
            <w:vAlign w:val="center"/>
          </w:tcPr>
          <w:p w:rsidR="009951C6" w:rsidRPr="00951F3B" w:rsidRDefault="009951C6" w:rsidP="00280083">
            <w:pPr>
              <w:jc w:val="center"/>
              <w:rPr>
                <w:bCs/>
                <w:color w:val="000000"/>
                <w:sz w:val="18"/>
                <w:lang w:val="en-GB" w:eastAsia="en-GB"/>
              </w:rPr>
            </w:pPr>
            <w:r w:rsidRPr="00951F3B">
              <w:rPr>
                <w:bCs/>
                <w:color w:val="000000"/>
                <w:sz w:val="18"/>
                <w:lang w:val="en-GB" w:eastAsia="en-GB"/>
              </w:rPr>
              <w:t>96.3</w:t>
            </w:r>
          </w:p>
        </w:tc>
        <w:tc>
          <w:tcPr>
            <w:tcW w:w="937" w:type="dxa"/>
            <w:tcBorders>
              <w:bottom w:val="nil"/>
            </w:tcBorders>
            <w:shd w:val="clear" w:color="auto" w:fill="auto"/>
            <w:vAlign w:val="center"/>
          </w:tcPr>
          <w:p w:rsidR="009951C6" w:rsidRPr="00951F3B" w:rsidRDefault="009951C6" w:rsidP="00280083">
            <w:pPr>
              <w:jc w:val="center"/>
              <w:rPr>
                <w:bCs/>
                <w:color w:val="000000"/>
                <w:sz w:val="18"/>
                <w:lang w:val="en-GB" w:eastAsia="en-GB"/>
              </w:rPr>
            </w:pPr>
            <w:r w:rsidRPr="00951F3B">
              <w:rPr>
                <w:bCs/>
                <w:color w:val="000000"/>
                <w:sz w:val="18"/>
                <w:lang w:val="en-GB" w:eastAsia="en-GB"/>
              </w:rPr>
              <w:t>16.1</w:t>
            </w:r>
          </w:p>
        </w:tc>
        <w:tc>
          <w:tcPr>
            <w:tcW w:w="937" w:type="dxa"/>
            <w:tcBorders>
              <w:bottom w:val="nil"/>
            </w:tcBorders>
            <w:shd w:val="clear" w:color="auto" w:fill="auto"/>
            <w:vAlign w:val="center"/>
          </w:tcPr>
          <w:p w:rsidR="009951C6" w:rsidRPr="00951F3B" w:rsidRDefault="009951C6" w:rsidP="00280083">
            <w:pPr>
              <w:jc w:val="center"/>
              <w:rPr>
                <w:bCs/>
                <w:color w:val="000000"/>
                <w:sz w:val="18"/>
                <w:lang w:val="en-GB" w:eastAsia="en-GB"/>
              </w:rPr>
            </w:pPr>
            <w:r w:rsidRPr="00951F3B">
              <w:rPr>
                <w:bCs/>
                <w:color w:val="000000"/>
                <w:sz w:val="18"/>
                <w:lang w:val="en-GB" w:eastAsia="en-GB"/>
              </w:rPr>
              <w:t>39.2</w:t>
            </w:r>
          </w:p>
        </w:tc>
        <w:tc>
          <w:tcPr>
            <w:tcW w:w="937" w:type="dxa"/>
            <w:tcBorders>
              <w:bottom w:val="nil"/>
            </w:tcBorders>
            <w:shd w:val="clear" w:color="auto" w:fill="auto"/>
            <w:vAlign w:val="center"/>
          </w:tcPr>
          <w:p w:rsidR="009951C6" w:rsidRPr="00951F3B" w:rsidRDefault="009951C6" w:rsidP="00280083">
            <w:pPr>
              <w:jc w:val="center"/>
              <w:rPr>
                <w:bCs/>
                <w:color w:val="000000"/>
                <w:sz w:val="18"/>
                <w:lang w:val="en-GB" w:eastAsia="en-GB"/>
              </w:rPr>
            </w:pPr>
            <w:r w:rsidRPr="00951F3B">
              <w:rPr>
                <w:bCs/>
                <w:color w:val="000000"/>
                <w:sz w:val="18"/>
                <w:lang w:val="en-GB" w:eastAsia="en-GB"/>
              </w:rPr>
              <w:t>35.7</w:t>
            </w:r>
          </w:p>
        </w:tc>
        <w:tc>
          <w:tcPr>
            <w:tcW w:w="937" w:type="dxa"/>
            <w:tcBorders>
              <w:bottom w:val="nil"/>
            </w:tcBorders>
            <w:shd w:val="clear" w:color="auto" w:fill="auto"/>
            <w:vAlign w:val="center"/>
          </w:tcPr>
          <w:p w:rsidR="009951C6" w:rsidRPr="00951F3B" w:rsidRDefault="009951C6" w:rsidP="00280083">
            <w:pPr>
              <w:pStyle w:val="NoSpacing"/>
              <w:spacing w:before="60" w:line="360" w:lineRule="auto"/>
              <w:jc w:val="center"/>
              <w:rPr>
                <w:rFonts w:ascii="Times New Roman" w:hAnsi="Times New Roman"/>
                <w:sz w:val="18"/>
                <w:lang w:val="en-GB"/>
              </w:rPr>
            </w:pPr>
            <w:r w:rsidRPr="00951F3B">
              <w:rPr>
                <w:rFonts w:ascii="Times New Roman" w:hAnsi="Times New Roman"/>
                <w:sz w:val="18"/>
                <w:lang w:val="en-GB"/>
              </w:rPr>
              <w:t>38.0</w:t>
            </w:r>
          </w:p>
        </w:tc>
        <w:tc>
          <w:tcPr>
            <w:tcW w:w="652" w:type="dxa"/>
            <w:tcBorders>
              <w:bottom w:val="nil"/>
              <w:right w:val="nil"/>
            </w:tcBorders>
          </w:tcPr>
          <w:p w:rsidR="009951C6" w:rsidRPr="00951F3B" w:rsidRDefault="009951C6" w:rsidP="00280083">
            <w:pPr>
              <w:pStyle w:val="NoSpacing"/>
              <w:spacing w:before="60" w:line="360" w:lineRule="auto"/>
              <w:jc w:val="center"/>
              <w:rPr>
                <w:rFonts w:ascii="Times New Roman" w:eastAsia="Calibri" w:hAnsi="Times New Roman"/>
                <w:sz w:val="18"/>
                <w:szCs w:val="18"/>
                <w:lang w:val="en-GB"/>
              </w:rPr>
            </w:pPr>
            <w:r w:rsidRPr="00951F3B">
              <w:rPr>
                <w:rFonts w:ascii="Times New Roman" w:eastAsia="Calibri" w:hAnsi="Times New Roman"/>
                <w:sz w:val="18"/>
                <w:szCs w:val="18"/>
                <w:lang w:val="en-GB"/>
              </w:rPr>
              <w:t>68.3</w:t>
            </w:r>
          </w:p>
        </w:tc>
      </w:tr>
      <w:tr w:rsidR="009951C6" w:rsidRPr="00951F3B" w:rsidTr="00280083">
        <w:trPr>
          <w:trHeight w:val="247"/>
        </w:trPr>
        <w:tc>
          <w:tcPr>
            <w:tcW w:w="1293" w:type="dxa"/>
            <w:tcBorders>
              <w:top w:val="nil"/>
              <w:left w:val="nil"/>
              <w:bottom w:val="nil"/>
            </w:tcBorders>
            <w:shd w:val="clear" w:color="auto" w:fill="auto"/>
            <w:vAlign w:val="center"/>
          </w:tcPr>
          <w:p w:rsidR="009951C6" w:rsidRPr="00951F3B" w:rsidRDefault="009951C6" w:rsidP="00280083">
            <w:pPr>
              <w:spacing w:line="360" w:lineRule="auto"/>
              <w:jc w:val="center"/>
              <w:rPr>
                <w:rFonts w:eastAsia="Calibri"/>
                <w:sz w:val="18"/>
                <w:szCs w:val="18"/>
                <w:lang w:val="en-GB"/>
              </w:rPr>
            </w:pPr>
            <w:r w:rsidRPr="00951F3B">
              <w:rPr>
                <w:rFonts w:eastAsia="Calibri"/>
                <w:sz w:val="18"/>
                <w:szCs w:val="18"/>
                <w:lang w:val="en-GB"/>
              </w:rPr>
              <w:t>LOEC</w:t>
            </w:r>
          </w:p>
        </w:tc>
        <w:tc>
          <w:tcPr>
            <w:tcW w:w="938" w:type="dxa"/>
            <w:tcBorders>
              <w:top w:val="nil"/>
              <w:bottom w:val="nil"/>
            </w:tcBorders>
            <w:shd w:val="clear" w:color="auto" w:fill="auto"/>
            <w:vAlign w:val="center"/>
          </w:tcPr>
          <w:p w:rsidR="009951C6" w:rsidRPr="00951F3B" w:rsidRDefault="009951C6" w:rsidP="00280083">
            <w:pPr>
              <w:jc w:val="center"/>
              <w:rPr>
                <w:bCs/>
                <w:color w:val="000000"/>
                <w:sz w:val="18"/>
                <w:lang w:val="en-GB" w:eastAsia="en-GB"/>
              </w:rPr>
            </w:pPr>
            <w:r w:rsidRPr="00951F3B">
              <w:rPr>
                <w:bCs/>
                <w:color w:val="000000"/>
                <w:sz w:val="18"/>
                <w:lang w:val="en-GB" w:eastAsia="en-GB"/>
              </w:rPr>
              <w:t>56.1</w:t>
            </w:r>
          </w:p>
        </w:tc>
        <w:tc>
          <w:tcPr>
            <w:tcW w:w="937" w:type="dxa"/>
            <w:tcBorders>
              <w:top w:val="nil"/>
              <w:bottom w:val="nil"/>
            </w:tcBorders>
            <w:shd w:val="clear" w:color="auto" w:fill="auto"/>
            <w:vAlign w:val="center"/>
          </w:tcPr>
          <w:p w:rsidR="009951C6" w:rsidRPr="00951F3B" w:rsidRDefault="009951C6" w:rsidP="00280083">
            <w:pPr>
              <w:jc w:val="center"/>
              <w:rPr>
                <w:bCs/>
                <w:color w:val="000000"/>
                <w:sz w:val="18"/>
                <w:lang w:val="en-GB" w:eastAsia="en-GB"/>
              </w:rPr>
            </w:pPr>
            <w:r w:rsidRPr="00951F3B">
              <w:rPr>
                <w:bCs/>
                <w:color w:val="000000"/>
                <w:sz w:val="18"/>
                <w:lang w:val="en-GB" w:eastAsia="en-GB"/>
              </w:rPr>
              <w:t>27.8</w:t>
            </w:r>
          </w:p>
        </w:tc>
        <w:tc>
          <w:tcPr>
            <w:tcW w:w="937" w:type="dxa"/>
            <w:tcBorders>
              <w:top w:val="nil"/>
              <w:bottom w:val="nil"/>
            </w:tcBorders>
            <w:shd w:val="clear" w:color="auto" w:fill="auto"/>
            <w:vAlign w:val="center"/>
          </w:tcPr>
          <w:p w:rsidR="009951C6" w:rsidRPr="00951F3B" w:rsidRDefault="009951C6" w:rsidP="00280083">
            <w:pPr>
              <w:jc w:val="center"/>
              <w:rPr>
                <w:bCs/>
                <w:color w:val="000000"/>
                <w:sz w:val="18"/>
                <w:lang w:val="en-GB" w:eastAsia="en-GB"/>
              </w:rPr>
            </w:pPr>
            <w:r w:rsidRPr="00951F3B">
              <w:rPr>
                <w:bCs/>
                <w:color w:val="000000"/>
                <w:sz w:val="18"/>
                <w:lang w:val="en-GB" w:eastAsia="en-GB"/>
              </w:rPr>
              <w:t>198</w:t>
            </w:r>
          </w:p>
        </w:tc>
        <w:tc>
          <w:tcPr>
            <w:tcW w:w="937" w:type="dxa"/>
            <w:tcBorders>
              <w:top w:val="nil"/>
              <w:bottom w:val="nil"/>
            </w:tcBorders>
            <w:shd w:val="clear" w:color="auto" w:fill="auto"/>
            <w:vAlign w:val="center"/>
          </w:tcPr>
          <w:p w:rsidR="009951C6" w:rsidRPr="00951F3B" w:rsidRDefault="009951C6" w:rsidP="00280083">
            <w:pPr>
              <w:jc w:val="center"/>
              <w:rPr>
                <w:bCs/>
                <w:color w:val="000000"/>
                <w:sz w:val="18"/>
                <w:lang w:val="en-GB" w:eastAsia="en-GB"/>
              </w:rPr>
            </w:pPr>
            <w:r w:rsidRPr="00951F3B">
              <w:rPr>
                <w:bCs/>
                <w:color w:val="000000"/>
                <w:sz w:val="18"/>
                <w:lang w:val="en-GB" w:eastAsia="en-GB"/>
              </w:rPr>
              <w:t>41.8</w:t>
            </w:r>
          </w:p>
        </w:tc>
        <w:tc>
          <w:tcPr>
            <w:tcW w:w="937" w:type="dxa"/>
            <w:tcBorders>
              <w:top w:val="nil"/>
              <w:bottom w:val="nil"/>
            </w:tcBorders>
            <w:shd w:val="clear" w:color="auto" w:fill="auto"/>
            <w:vAlign w:val="center"/>
          </w:tcPr>
          <w:p w:rsidR="009951C6" w:rsidRPr="00951F3B" w:rsidRDefault="009951C6" w:rsidP="00280083">
            <w:pPr>
              <w:jc w:val="center"/>
              <w:rPr>
                <w:bCs/>
                <w:color w:val="000000"/>
                <w:sz w:val="18"/>
                <w:lang w:val="en-GB" w:eastAsia="en-GB"/>
              </w:rPr>
            </w:pPr>
            <w:r w:rsidRPr="00951F3B">
              <w:rPr>
                <w:bCs/>
                <w:color w:val="000000"/>
                <w:sz w:val="18"/>
                <w:lang w:val="en-GB" w:eastAsia="en-GB"/>
              </w:rPr>
              <w:t>41.4</w:t>
            </w:r>
          </w:p>
        </w:tc>
        <w:tc>
          <w:tcPr>
            <w:tcW w:w="937" w:type="dxa"/>
            <w:tcBorders>
              <w:top w:val="nil"/>
              <w:bottom w:val="nil"/>
            </w:tcBorders>
            <w:shd w:val="clear" w:color="auto" w:fill="auto"/>
            <w:vAlign w:val="center"/>
          </w:tcPr>
          <w:p w:rsidR="009951C6" w:rsidRPr="00951F3B" w:rsidRDefault="009951C6" w:rsidP="00280083">
            <w:pPr>
              <w:jc w:val="center"/>
              <w:rPr>
                <w:bCs/>
                <w:color w:val="000000"/>
                <w:sz w:val="18"/>
                <w:lang w:val="en-GB" w:eastAsia="en-GB"/>
              </w:rPr>
            </w:pPr>
            <w:r w:rsidRPr="00951F3B">
              <w:rPr>
                <w:bCs/>
                <w:color w:val="000000"/>
                <w:sz w:val="18"/>
                <w:lang w:val="en-GB" w:eastAsia="en-GB"/>
              </w:rPr>
              <w:t>94.9</w:t>
            </w:r>
          </w:p>
        </w:tc>
        <w:tc>
          <w:tcPr>
            <w:tcW w:w="937" w:type="dxa"/>
            <w:tcBorders>
              <w:top w:val="nil"/>
              <w:bottom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69.7</w:t>
            </w:r>
          </w:p>
        </w:tc>
        <w:tc>
          <w:tcPr>
            <w:tcW w:w="652" w:type="dxa"/>
            <w:tcBorders>
              <w:top w:val="nil"/>
              <w:bottom w:val="nil"/>
              <w:right w:val="nil"/>
            </w:tcBorders>
          </w:tcPr>
          <w:p w:rsidR="009951C6" w:rsidRPr="00951F3B" w:rsidRDefault="009951C6" w:rsidP="00280083">
            <w:pPr>
              <w:pStyle w:val="NoSpacing"/>
              <w:spacing w:line="360" w:lineRule="auto"/>
              <w:jc w:val="center"/>
              <w:rPr>
                <w:rFonts w:ascii="Times New Roman" w:eastAsia="Calibri" w:hAnsi="Times New Roman"/>
                <w:sz w:val="18"/>
                <w:szCs w:val="18"/>
                <w:lang w:val="en-GB"/>
              </w:rPr>
            </w:pPr>
            <w:r w:rsidRPr="00951F3B">
              <w:rPr>
                <w:rFonts w:ascii="Times New Roman" w:eastAsia="Calibri" w:hAnsi="Times New Roman"/>
                <w:sz w:val="18"/>
                <w:szCs w:val="18"/>
                <w:lang w:val="en-GB"/>
              </w:rPr>
              <w:t>77.0</w:t>
            </w:r>
          </w:p>
        </w:tc>
      </w:tr>
      <w:tr w:rsidR="009951C6" w:rsidRPr="00951F3B" w:rsidTr="00280083">
        <w:trPr>
          <w:trHeight w:val="231"/>
        </w:trPr>
        <w:tc>
          <w:tcPr>
            <w:tcW w:w="1293" w:type="dxa"/>
            <w:tcBorders>
              <w:top w:val="nil"/>
              <w:left w:val="nil"/>
              <w:bottom w:val="nil"/>
            </w:tcBorders>
            <w:shd w:val="clear" w:color="auto" w:fill="auto"/>
          </w:tcPr>
          <w:p w:rsidR="009951C6" w:rsidRPr="00951F3B" w:rsidRDefault="009951C6" w:rsidP="00280083">
            <w:pPr>
              <w:spacing w:line="360" w:lineRule="auto"/>
              <w:jc w:val="center"/>
              <w:rPr>
                <w:rFonts w:eastAsia="Calibri"/>
                <w:sz w:val="18"/>
                <w:szCs w:val="18"/>
                <w:lang w:val="en-GB"/>
              </w:rPr>
            </w:pPr>
            <w:r w:rsidRPr="00951F3B">
              <w:rPr>
                <w:rFonts w:eastAsia="Calibri"/>
                <w:sz w:val="18"/>
                <w:szCs w:val="18"/>
                <w:lang w:val="en-GB"/>
              </w:rPr>
              <w:t>EC</w:t>
            </w:r>
            <w:r w:rsidRPr="00951F3B">
              <w:rPr>
                <w:rFonts w:eastAsia="Calibri"/>
                <w:sz w:val="18"/>
                <w:szCs w:val="18"/>
                <w:vertAlign w:val="subscript"/>
                <w:lang w:val="en-GB"/>
              </w:rPr>
              <w:t>10</w:t>
            </w:r>
          </w:p>
        </w:tc>
        <w:tc>
          <w:tcPr>
            <w:tcW w:w="938" w:type="dxa"/>
            <w:tcBorders>
              <w:top w:val="nil"/>
              <w:bottom w:val="nil"/>
            </w:tcBorders>
            <w:shd w:val="clear" w:color="auto" w:fill="auto"/>
          </w:tcPr>
          <w:p w:rsidR="009951C6" w:rsidRPr="00951F3B" w:rsidRDefault="009951C6" w:rsidP="00280083">
            <w:pPr>
              <w:suppressAutoHyphens w:val="0"/>
              <w:spacing w:line="360" w:lineRule="auto"/>
              <w:jc w:val="center"/>
              <w:rPr>
                <w:sz w:val="18"/>
                <w:szCs w:val="18"/>
                <w:lang w:val="en-GB" w:eastAsia="de-DE"/>
              </w:rPr>
            </w:pPr>
            <w:r w:rsidRPr="00951F3B">
              <w:rPr>
                <w:sz w:val="18"/>
                <w:szCs w:val="18"/>
                <w:lang w:val="en-GB" w:eastAsia="de-DE"/>
              </w:rPr>
              <w:t>45.0</w:t>
            </w:r>
          </w:p>
          <w:p w:rsidR="009951C6" w:rsidRPr="00951F3B" w:rsidRDefault="009951C6" w:rsidP="00280083">
            <w:pPr>
              <w:suppressAutoHyphens w:val="0"/>
              <w:spacing w:line="360" w:lineRule="auto"/>
              <w:jc w:val="center"/>
              <w:rPr>
                <w:sz w:val="18"/>
                <w:szCs w:val="18"/>
                <w:lang w:val="en-GB" w:eastAsia="de-DE"/>
              </w:rPr>
            </w:pPr>
            <w:r w:rsidRPr="00951F3B">
              <w:rPr>
                <w:sz w:val="14"/>
                <w:szCs w:val="18"/>
                <w:lang w:val="en-GB" w:eastAsia="de-DE"/>
              </w:rPr>
              <w:t>(28.4–71.2)</w:t>
            </w:r>
          </w:p>
        </w:tc>
        <w:tc>
          <w:tcPr>
            <w:tcW w:w="937" w:type="dxa"/>
            <w:tcBorders>
              <w:top w:val="nil"/>
              <w:bottom w:val="nil"/>
            </w:tcBorders>
            <w:shd w:val="clear" w:color="auto" w:fill="auto"/>
          </w:tcPr>
          <w:p w:rsidR="009951C6" w:rsidRPr="00951F3B" w:rsidRDefault="009951C6" w:rsidP="00280083">
            <w:pPr>
              <w:suppressAutoHyphens w:val="0"/>
              <w:spacing w:line="360" w:lineRule="auto"/>
              <w:jc w:val="center"/>
              <w:rPr>
                <w:sz w:val="18"/>
                <w:szCs w:val="18"/>
                <w:lang w:val="en-GB" w:eastAsia="de-DE"/>
              </w:rPr>
            </w:pPr>
            <w:r w:rsidRPr="00951F3B">
              <w:rPr>
                <w:sz w:val="18"/>
                <w:szCs w:val="18"/>
                <w:lang w:val="en-GB" w:eastAsia="de-DE"/>
              </w:rPr>
              <w:t>12.7</w:t>
            </w:r>
          </w:p>
          <w:p w:rsidR="009951C6" w:rsidRPr="00951F3B" w:rsidRDefault="009951C6" w:rsidP="00280083">
            <w:pPr>
              <w:suppressAutoHyphens w:val="0"/>
              <w:spacing w:line="360" w:lineRule="auto"/>
              <w:jc w:val="center"/>
              <w:rPr>
                <w:sz w:val="18"/>
                <w:szCs w:val="18"/>
                <w:lang w:val="en-GB" w:eastAsia="de-DE"/>
              </w:rPr>
            </w:pPr>
            <w:r w:rsidRPr="00951F3B">
              <w:rPr>
                <w:sz w:val="14"/>
                <w:szCs w:val="18"/>
                <w:lang w:val="en-GB" w:eastAsia="de-DE"/>
              </w:rPr>
              <w:t>(5.73–28.3)</w:t>
            </w:r>
          </w:p>
        </w:tc>
        <w:tc>
          <w:tcPr>
            <w:tcW w:w="937" w:type="dxa"/>
            <w:tcBorders>
              <w:top w:val="nil"/>
              <w:bottom w:val="nil"/>
            </w:tcBorders>
            <w:shd w:val="clear" w:color="auto" w:fill="auto"/>
          </w:tcPr>
          <w:p w:rsidR="009951C6" w:rsidRPr="00951F3B" w:rsidRDefault="009951C6" w:rsidP="00280083">
            <w:pPr>
              <w:suppressAutoHyphens w:val="0"/>
              <w:spacing w:line="360" w:lineRule="auto"/>
              <w:jc w:val="center"/>
              <w:rPr>
                <w:sz w:val="18"/>
                <w:szCs w:val="18"/>
                <w:lang w:val="en-GB" w:eastAsia="de-DE"/>
              </w:rPr>
            </w:pPr>
            <w:r w:rsidRPr="00951F3B">
              <w:rPr>
                <w:sz w:val="18"/>
                <w:szCs w:val="18"/>
                <w:lang w:val="en-GB" w:eastAsia="de-DE"/>
              </w:rPr>
              <w:t>89.1</w:t>
            </w:r>
          </w:p>
          <w:p w:rsidR="009951C6" w:rsidRPr="00951F3B" w:rsidRDefault="009951C6" w:rsidP="00280083">
            <w:pPr>
              <w:suppressAutoHyphens w:val="0"/>
              <w:spacing w:line="360" w:lineRule="auto"/>
              <w:jc w:val="center"/>
              <w:rPr>
                <w:sz w:val="18"/>
                <w:szCs w:val="18"/>
                <w:lang w:val="en-GB" w:eastAsia="de-DE"/>
              </w:rPr>
            </w:pPr>
            <w:r w:rsidRPr="00951F3B">
              <w:rPr>
                <w:sz w:val="14"/>
                <w:szCs w:val="18"/>
                <w:lang w:val="en-GB" w:eastAsia="de-DE"/>
              </w:rPr>
              <w:t>(53.2-149)</w:t>
            </w:r>
          </w:p>
        </w:tc>
        <w:tc>
          <w:tcPr>
            <w:tcW w:w="937" w:type="dxa"/>
            <w:tcBorders>
              <w:top w:val="nil"/>
              <w:bottom w:val="nil"/>
            </w:tcBorders>
            <w:shd w:val="clear" w:color="auto" w:fill="auto"/>
          </w:tcPr>
          <w:p w:rsidR="009951C6" w:rsidRPr="00951F3B" w:rsidRDefault="009951C6" w:rsidP="00280083">
            <w:pPr>
              <w:suppressAutoHyphens w:val="0"/>
              <w:spacing w:line="360" w:lineRule="auto"/>
              <w:jc w:val="center"/>
              <w:rPr>
                <w:sz w:val="18"/>
                <w:szCs w:val="18"/>
                <w:lang w:val="en-GB" w:eastAsia="de-DE"/>
              </w:rPr>
            </w:pPr>
            <w:r w:rsidRPr="00951F3B">
              <w:rPr>
                <w:sz w:val="18"/>
                <w:szCs w:val="18"/>
                <w:lang w:val="en-GB" w:eastAsia="de-DE"/>
              </w:rPr>
              <w:t>22.4</w:t>
            </w:r>
          </w:p>
          <w:p w:rsidR="009951C6" w:rsidRPr="00951F3B" w:rsidRDefault="009951C6" w:rsidP="00280083">
            <w:pPr>
              <w:suppressAutoHyphens w:val="0"/>
              <w:spacing w:line="360" w:lineRule="auto"/>
              <w:jc w:val="center"/>
              <w:rPr>
                <w:sz w:val="18"/>
                <w:szCs w:val="18"/>
                <w:lang w:val="en-GB" w:eastAsia="de-DE"/>
              </w:rPr>
            </w:pPr>
            <w:r w:rsidRPr="00951F3B">
              <w:rPr>
                <w:sz w:val="14"/>
                <w:szCs w:val="18"/>
                <w:lang w:val="en-GB" w:eastAsia="de-DE"/>
              </w:rPr>
              <w:t>(15.6–32.3)</w:t>
            </w:r>
          </w:p>
        </w:tc>
        <w:tc>
          <w:tcPr>
            <w:tcW w:w="937" w:type="dxa"/>
            <w:tcBorders>
              <w:top w:val="nil"/>
              <w:bottom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36.8</w:t>
            </w:r>
          </w:p>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4"/>
                <w:lang w:val="en-GB"/>
              </w:rPr>
              <w:t>(26.1–51.7)</w:t>
            </w:r>
          </w:p>
        </w:tc>
        <w:tc>
          <w:tcPr>
            <w:tcW w:w="937" w:type="dxa"/>
            <w:tcBorders>
              <w:top w:val="nil"/>
              <w:bottom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36.5</w:t>
            </w:r>
          </w:p>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4"/>
                <w:lang w:val="en-GB"/>
              </w:rPr>
              <w:t>(20.4–65.0)</w:t>
            </w:r>
          </w:p>
        </w:tc>
        <w:tc>
          <w:tcPr>
            <w:tcW w:w="937" w:type="dxa"/>
            <w:tcBorders>
              <w:top w:val="nil"/>
              <w:bottom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6.62</w:t>
            </w:r>
          </w:p>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4"/>
                <w:lang w:val="en-GB"/>
              </w:rPr>
              <w:t>(0.95–45.9)</w:t>
            </w:r>
          </w:p>
        </w:tc>
        <w:tc>
          <w:tcPr>
            <w:tcW w:w="652" w:type="dxa"/>
            <w:tcBorders>
              <w:top w:val="nil"/>
              <w:bottom w:val="nil"/>
              <w:right w:val="nil"/>
            </w:tcBorders>
          </w:tcPr>
          <w:p w:rsidR="009951C6" w:rsidRPr="00951F3B" w:rsidRDefault="009951C6" w:rsidP="00280083">
            <w:pPr>
              <w:pStyle w:val="NoSpacing"/>
              <w:spacing w:line="360" w:lineRule="auto"/>
              <w:jc w:val="center"/>
              <w:rPr>
                <w:rFonts w:ascii="Times New Roman" w:eastAsia="Calibri" w:hAnsi="Times New Roman"/>
                <w:sz w:val="18"/>
                <w:szCs w:val="18"/>
                <w:lang w:val="en-GB"/>
              </w:rPr>
            </w:pPr>
            <w:r w:rsidRPr="00951F3B">
              <w:rPr>
                <w:rFonts w:ascii="Times New Roman" w:eastAsia="Calibri" w:hAnsi="Times New Roman"/>
                <w:sz w:val="18"/>
                <w:szCs w:val="18"/>
                <w:lang w:val="en-GB"/>
              </w:rPr>
              <w:t>76.9</w:t>
            </w:r>
          </w:p>
        </w:tc>
      </w:tr>
      <w:tr w:rsidR="009951C6" w:rsidRPr="00951F3B" w:rsidTr="00280083">
        <w:trPr>
          <w:trHeight w:val="247"/>
        </w:trPr>
        <w:tc>
          <w:tcPr>
            <w:tcW w:w="1293" w:type="dxa"/>
            <w:tcBorders>
              <w:top w:val="nil"/>
              <w:left w:val="nil"/>
            </w:tcBorders>
            <w:shd w:val="clear" w:color="auto" w:fill="auto"/>
          </w:tcPr>
          <w:p w:rsidR="009951C6" w:rsidRPr="00951F3B" w:rsidRDefault="009951C6" w:rsidP="00280083">
            <w:pPr>
              <w:spacing w:line="360" w:lineRule="auto"/>
              <w:jc w:val="center"/>
              <w:rPr>
                <w:rFonts w:eastAsia="Calibri"/>
                <w:sz w:val="18"/>
                <w:szCs w:val="18"/>
                <w:lang w:val="en-GB"/>
              </w:rPr>
            </w:pPr>
            <w:r w:rsidRPr="00951F3B">
              <w:rPr>
                <w:rFonts w:eastAsia="Calibri"/>
                <w:sz w:val="18"/>
                <w:szCs w:val="18"/>
                <w:lang w:val="en-GB"/>
              </w:rPr>
              <w:t>EC</w:t>
            </w:r>
            <w:r w:rsidRPr="00951F3B">
              <w:rPr>
                <w:rFonts w:eastAsia="Calibri"/>
                <w:sz w:val="18"/>
                <w:szCs w:val="18"/>
                <w:vertAlign w:val="subscript"/>
                <w:lang w:val="en-GB"/>
              </w:rPr>
              <w:t>50</w:t>
            </w:r>
          </w:p>
        </w:tc>
        <w:tc>
          <w:tcPr>
            <w:tcW w:w="938" w:type="dxa"/>
            <w:tcBorders>
              <w:top w:val="nil"/>
            </w:tcBorders>
            <w:shd w:val="clear" w:color="auto" w:fill="auto"/>
          </w:tcPr>
          <w:p w:rsidR="009951C6" w:rsidRPr="00951F3B" w:rsidRDefault="009951C6" w:rsidP="00280083">
            <w:pPr>
              <w:suppressAutoHyphens w:val="0"/>
              <w:spacing w:line="360" w:lineRule="auto"/>
              <w:jc w:val="center"/>
              <w:rPr>
                <w:sz w:val="18"/>
                <w:lang w:val="en-GB" w:eastAsia="de-DE"/>
              </w:rPr>
            </w:pPr>
            <w:r w:rsidRPr="00951F3B">
              <w:rPr>
                <w:sz w:val="18"/>
                <w:szCs w:val="22"/>
                <w:lang w:val="en-GB" w:eastAsia="de-DE"/>
              </w:rPr>
              <w:t>153</w:t>
            </w:r>
          </w:p>
          <w:p w:rsidR="009951C6" w:rsidRPr="00951F3B" w:rsidRDefault="009951C6" w:rsidP="00280083">
            <w:pPr>
              <w:suppressAutoHyphens w:val="0"/>
              <w:spacing w:line="360" w:lineRule="auto"/>
              <w:jc w:val="center"/>
              <w:rPr>
                <w:sz w:val="18"/>
                <w:lang w:val="en-GB" w:eastAsia="de-DE"/>
              </w:rPr>
            </w:pPr>
            <w:r w:rsidRPr="00951F3B">
              <w:rPr>
                <w:sz w:val="14"/>
                <w:szCs w:val="22"/>
                <w:lang w:val="en-GB" w:eastAsia="de-DE"/>
              </w:rPr>
              <w:t>(109-213)</w:t>
            </w:r>
          </w:p>
        </w:tc>
        <w:tc>
          <w:tcPr>
            <w:tcW w:w="937" w:type="dxa"/>
            <w:tcBorders>
              <w:top w:val="nil"/>
            </w:tcBorders>
            <w:shd w:val="clear" w:color="auto" w:fill="auto"/>
          </w:tcPr>
          <w:p w:rsidR="009951C6" w:rsidRPr="00951F3B" w:rsidRDefault="009951C6" w:rsidP="00280083">
            <w:pPr>
              <w:suppressAutoHyphens w:val="0"/>
              <w:spacing w:line="360" w:lineRule="auto"/>
              <w:jc w:val="center"/>
              <w:rPr>
                <w:sz w:val="18"/>
                <w:lang w:val="en-GB" w:eastAsia="de-DE"/>
              </w:rPr>
            </w:pPr>
            <w:r w:rsidRPr="00951F3B">
              <w:rPr>
                <w:sz w:val="18"/>
                <w:szCs w:val="22"/>
                <w:lang w:val="en-GB" w:eastAsia="de-DE"/>
              </w:rPr>
              <w:t>124</w:t>
            </w:r>
          </w:p>
          <w:p w:rsidR="009951C6" w:rsidRPr="00951F3B" w:rsidRDefault="009951C6" w:rsidP="00280083">
            <w:pPr>
              <w:suppressAutoHyphens w:val="0"/>
              <w:spacing w:line="360" w:lineRule="auto"/>
              <w:jc w:val="center"/>
              <w:rPr>
                <w:sz w:val="18"/>
                <w:lang w:val="en-GB" w:eastAsia="de-DE"/>
              </w:rPr>
            </w:pPr>
            <w:r w:rsidRPr="00951F3B">
              <w:rPr>
                <w:sz w:val="14"/>
                <w:szCs w:val="22"/>
                <w:lang w:val="en-GB" w:eastAsia="de-DE"/>
              </w:rPr>
              <w:t>(77 - 200)</w:t>
            </w:r>
          </w:p>
        </w:tc>
        <w:tc>
          <w:tcPr>
            <w:tcW w:w="937" w:type="dxa"/>
            <w:tcBorders>
              <w:top w:val="nil"/>
            </w:tcBorders>
            <w:shd w:val="clear" w:color="auto" w:fill="auto"/>
          </w:tcPr>
          <w:p w:rsidR="009951C6" w:rsidRPr="00951F3B" w:rsidRDefault="009951C6" w:rsidP="00280083">
            <w:pPr>
              <w:suppressAutoHyphens w:val="0"/>
              <w:spacing w:line="360" w:lineRule="auto"/>
              <w:jc w:val="center"/>
              <w:rPr>
                <w:sz w:val="18"/>
                <w:lang w:val="en-GB" w:eastAsia="de-DE"/>
              </w:rPr>
            </w:pPr>
            <w:r w:rsidRPr="00951F3B">
              <w:rPr>
                <w:sz w:val="18"/>
                <w:szCs w:val="22"/>
                <w:lang w:val="en-GB" w:eastAsia="de-DE"/>
              </w:rPr>
              <w:t>188</w:t>
            </w:r>
          </w:p>
          <w:p w:rsidR="009951C6" w:rsidRPr="00951F3B" w:rsidRDefault="009951C6" w:rsidP="00280083">
            <w:pPr>
              <w:suppressAutoHyphens w:val="0"/>
              <w:spacing w:line="360" w:lineRule="auto"/>
              <w:jc w:val="center"/>
              <w:rPr>
                <w:sz w:val="18"/>
                <w:lang w:val="en-GB" w:eastAsia="de-DE"/>
              </w:rPr>
            </w:pPr>
            <w:r w:rsidRPr="00951F3B">
              <w:rPr>
                <w:sz w:val="14"/>
                <w:szCs w:val="22"/>
                <w:lang w:val="en-GB" w:eastAsia="de-DE"/>
              </w:rPr>
              <w:t>(157-226)</w:t>
            </w:r>
          </w:p>
        </w:tc>
        <w:tc>
          <w:tcPr>
            <w:tcW w:w="937" w:type="dxa"/>
            <w:tcBorders>
              <w:top w:val="nil"/>
            </w:tcBorders>
            <w:shd w:val="clear" w:color="auto" w:fill="auto"/>
          </w:tcPr>
          <w:p w:rsidR="009951C6" w:rsidRPr="00951F3B" w:rsidRDefault="009951C6" w:rsidP="00280083">
            <w:pPr>
              <w:suppressAutoHyphens w:val="0"/>
              <w:spacing w:line="360" w:lineRule="auto"/>
              <w:jc w:val="center"/>
              <w:rPr>
                <w:sz w:val="18"/>
                <w:lang w:val="en-GB" w:eastAsia="de-DE"/>
              </w:rPr>
            </w:pPr>
            <w:r w:rsidRPr="00951F3B">
              <w:rPr>
                <w:sz w:val="18"/>
                <w:szCs w:val="22"/>
                <w:lang w:val="en-GB" w:eastAsia="de-DE"/>
              </w:rPr>
              <w:t>37.9</w:t>
            </w:r>
          </w:p>
          <w:p w:rsidR="009951C6" w:rsidRPr="00951F3B" w:rsidRDefault="009951C6" w:rsidP="00280083">
            <w:pPr>
              <w:suppressAutoHyphens w:val="0"/>
              <w:spacing w:line="360" w:lineRule="auto"/>
              <w:jc w:val="center"/>
              <w:rPr>
                <w:sz w:val="18"/>
                <w:lang w:val="en-GB" w:eastAsia="de-DE"/>
              </w:rPr>
            </w:pPr>
            <w:r w:rsidRPr="00951F3B">
              <w:rPr>
                <w:sz w:val="14"/>
                <w:szCs w:val="22"/>
                <w:lang w:val="en-GB" w:eastAsia="de-DE"/>
              </w:rPr>
              <w:t>(28.5-50.4)</w:t>
            </w:r>
          </w:p>
        </w:tc>
        <w:tc>
          <w:tcPr>
            <w:tcW w:w="937" w:type="dxa"/>
            <w:tcBorders>
              <w:top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88.8</w:t>
            </w:r>
          </w:p>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4"/>
                <w:lang w:val="en-GB"/>
              </w:rPr>
              <w:t>(73.5-107)</w:t>
            </w:r>
          </w:p>
        </w:tc>
        <w:tc>
          <w:tcPr>
            <w:tcW w:w="937" w:type="dxa"/>
            <w:tcBorders>
              <w:top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137</w:t>
            </w:r>
          </w:p>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4"/>
                <w:lang w:val="en-GB"/>
              </w:rPr>
              <w:t>(93.2-200)</w:t>
            </w:r>
          </w:p>
        </w:tc>
        <w:tc>
          <w:tcPr>
            <w:tcW w:w="937" w:type="dxa"/>
            <w:tcBorders>
              <w:top w:val="nil"/>
            </w:tcBorders>
            <w:shd w:val="clear" w:color="auto" w:fill="auto"/>
            <w:vAlign w:val="center"/>
          </w:tcPr>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8"/>
                <w:lang w:val="en-GB"/>
              </w:rPr>
              <w:t>159</w:t>
            </w:r>
          </w:p>
          <w:p w:rsidR="009951C6" w:rsidRPr="00951F3B" w:rsidRDefault="009951C6" w:rsidP="00280083">
            <w:pPr>
              <w:pStyle w:val="NoSpacing"/>
              <w:spacing w:line="360" w:lineRule="auto"/>
              <w:jc w:val="center"/>
              <w:rPr>
                <w:rFonts w:ascii="Times New Roman" w:hAnsi="Times New Roman"/>
                <w:sz w:val="18"/>
                <w:lang w:val="en-GB"/>
              </w:rPr>
            </w:pPr>
            <w:r w:rsidRPr="00951F3B">
              <w:rPr>
                <w:rFonts w:ascii="Times New Roman" w:hAnsi="Times New Roman"/>
                <w:sz w:val="14"/>
                <w:lang w:val="en-GB"/>
              </w:rPr>
              <w:t>(48.8-519)</w:t>
            </w:r>
          </w:p>
        </w:tc>
        <w:tc>
          <w:tcPr>
            <w:tcW w:w="652" w:type="dxa"/>
            <w:tcBorders>
              <w:top w:val="nil"/>
              <w:right w:val="nil"/>
            </w:tcBorders>
          </w:tcPr>
          <w:p w:rsidR="009951C6" w:rsidRPr="00951F3B" w:rsidRDefault="009951C6" w:rsidP="00280083">
            <w:pPr>
              <w:pStyle w:val="NoSpacing"/>
              <w:spacing w:line="360" w:lineRule="auto"/>
              <w:jc w:val="center"/>
              <w:rPr>
                <w:rFonts w:ascii="Times New Roman" w:eastAsia="Calibri" w:hAnsi="Times New Roman"/>
                <w:sz w:val="18"/>
                <w:szCs w:val="18"/>
                <w:lang w:val="en-GB"/>
              </w:rPr>
            </w:pPr>
            <w:r w:rsidRPr="00951F3B">
              <w:rPr>
                <w:rFonts w:ascii="Times New Roman" w:eastAsia="Calibri" w:hAnsi="Times New Roman"/>
                <w:sz w:val="18"/>
                <w:szCs w:val="18"/>
                <w:lang w:val="en-GB"/>
              </w:rPr>
              <w:t>39.3</w:t>
            </w:r>
          </w:p>
        </w:tc>
      </w:tr>
    </w:tbl>
    <w:p w:rsidR="009951C6" w:rsidRPr="00951F3B" w:rsidRDefault="009951C6" w:rsidP="00280083">
      <w:pPr>
        <w:spacing w:line="480" w:lineRule="auto"/>
        <w:jc w:val="both"/>
        <w:rPr>
          <w:lang w:val="en-GB"/>
        </w:rPr>
      </w:pPr>
    </w:p>
    <w:p w:rsidR="009951C6" w:rsidRPr="00951F3B" w:rsidRDefault="009951C6" w:rsidP="00280083">
      <w:pPr>
        <w:pStyle w:val="Heading6"/>
        <w:numPr>
          <w:ilvl w:val="0"/>
          <w:numId w:val="45"/>
        </w:numPr>
        <w:rPr>
          <w:lang w:val="en-GB"/>
        </w:rPr>
      </w:pPr>
      <w:r w:rsidRPr="00951F3B">
        <w:rPr>
          <w:lang w:val="en-GB"/>
        </w:rPr>
        <w:t>DISCUSSION</w:t>
      </w:r>
    </w:p>
    <w:p w:rsidR="009951C6" w:rsidRPr="00951F3B" w:rsidRDefault="009951C6" w:rsidP="00280083">
      <w:pPr>
        <w:pStyle w:val="Retraitcorpsdetexte21"/>
        <w:ind w:firstLine="0"/>
        <w:jc w:val="both"/>
      </w:pPr>
    </w:p>
    <w:p w:rsidR="009951C6" w:rsidRPr="00951F3B" w:rsidRDefault="009951C6" w:rsidP="00280083">
      <w:pPr>
        <w:pStyle w:val="Retraitcorpsdetexte21"/>
        <w:numPr>
          <w:ilvl w:val="1"/>
          <w:numId w:val="41"/>
        </w:numPr>
        <w:jc w:val="both"/>
        <w:rPr>
          <w:i/>
        </w:rPr>
      </w:pPr>
      <w:r w:rsidRPr="00951F3B">
        <w:rPr>
          <w:i/>
        </w:rPr>
        <w:t>Reproducibility of test results among laboratories and comparison with literature</w:t>
      </w:r>
    </w:p>
    <w:p w:rsidR="009951C6" w:rsidRPr="00951F3B" w:rsidRDefault="009951C6" w:rsidP="00280083">
      <w:pPr>
        <w:pStyle w:val="Retraitcorpsdetexte21"/>
        <w:ind w:firstLine="0"/>
        <w:jc w:val="both"/>
      </w:pPr>
      <w:r w:rsidRPr="00951F3B">
        <w:t xml:space="preserve">The proposed test protocols </w:t>
      </w:r>
      <w:r w:rsidR="0061433F">
        <w:t>were</w:t>
      </w:r>
      <w:r w:rsidRPr="00951F3B">
        <w:t xml:space="preserve"> successfully applied by all </w:t>
      </w:r>
      <w:r w:rsidR="00AC4A4C">
        <w:t>participating laboratories</w:t>
      </w:r>
      <w:r w:rsidRPr="00951F3B">
        <w:t xml:space="preserve">. </w:t>
      </w:r>
      <w:r w:rsidR="00FB3527">
        <w:t xml:space="preserve">The assessed </w:t>
      </w:r>
      <w:r w:rsidRPr="00951F3B">
        <w:t xml:space="preserve">effect concentrations </w:t>
      </w:r>
      <w:r w:rsidR="00FB3527">
        <w:t xml:space="preserve">are </w:t>
      </w:r>
      <w:r w:rsidR="00FB3527" w:rsidRPr="00951F3B">
        <w:t xml:space="preserve">comparable </w:t>
      </w:r>
      <w:r w:rsidR="00FB3527">
        <w:t xml:space="preserve">and </w:t>
      </w:r>
      <w:r w:rsidRPr="00951F3B">
        <w:t xml:space="preserve">in an adequate range of acceptance when comparing with other validation studies for chronic tests with invertebrates and dealing with </w:t>
      </w:r>
      <w:r w:rsidR="00FB3527">
        <w:t>reproductive endpoints</w:t>
      </w:r>
      <w:r w:rsidRPr="00951F3B">
        <w:t xml:space="preserve">. For example, </w:t>
      </w:r>
      <w:r w:rsidRPr="00951F3B">
        <w:rPr>
          <w:noProof/>
        </w:rPr>
        <w:t>Taenzler et al. (2007)</w:t>
      </w:r>
      <w:r w:rsidRPr="00951F3B">
        <w:t xml:space="preserve"> </w:t>
      </w:r>
      <w:r w:rsidR="008E71D2">
        <w:t xml:space="preserve">and Tassou and Schulz (2009) </w:t>
      </w:r>
      <w:r w:rsidRPr="00951F3B">
        <w:t xml:space="preserve">performed a small scale ring test with </w:t>
      </w:r>
      <w:r w:rsidR="0061433F">
        <w:t>a total of</w:t>
      </w:r>
      <w:r w:rsidR="008E71D2">
        <w:t xml:space="preserve"> 4</w:t>
      </w:r>
      <w:r w:rsidRPr="00951F3B">
        <w:t xml:space="preserve"> laboratories for OECD guideline No. 233, life-cycle toxicity test with </w:t>
      </w:r>
      <w:r w:rsidRPr="00951F3B">
        <w:rPr>
          <w:i/>
        </w:rPr>
        <w:t>Chironomus riparius</w:t>
      </w:r>
      <w:r w:rsidRPr="00951F3B">
        <w:t>. For pyriproxifen the NOEC</w:t>
      </w:r>
      <w:r w:rsidR="008E71D2">
        <w:t>s</w:t>
      </w:r>
      <w:r w:rsidRPr="00951F3B">
        <w:t xml:space="preserve"> varied between 4 µg/L and 20 µg/L (fold difference of 5)</w:t>
      </w:r>
      <w:r w:rsidR="008E71D2">
        <w:t>,</w:t>
      </w:r>
      <w:r w:rsidR="006E2B28">
        <w:t xml:space="preserve"> </w:t>
      </w:r>
      <w:r w:rsidR="00AC4A4C">
        <w:t>and</w:t>
      </w:r>
      <w:r w:rsidR="006E5560">
        <w:t xml:space="preserve"> the</w:t>
      </w:r>
      <w:r w:rsidR="006E5560" w:rsidRPr="00951F3B">
        <w:t xml:space="preserve"> coefficient of variation </w:t>
      </w:r>
      <w:r w:rsidR="006E5560">
        <w:t>was</w:t>
      </w:r>
      <w:r w:rsidR="006E5560" w:rsidRPr="00951F3B">
        <w:t xml:space="preserve"> </w:t>
      </w:r>
      <w:r w:rsidR="008E71D2">
        <w:t>58.5</w:t>
      </w:r>
      <w:r w:rsidR="006E5560" w:rsidRPr="00951F3B">
        <w:t>%</w:t>
      </w:r>
      <w:r w:rsidR="006E5560">
        <w:t>,</w:t>
      </w:r>
      <w:r w:rsidR="006E5560" w:rsidRPr="006E5560">
        <w:t xml:space="preserve"> </w:t>
      </w:r>
      <w:r w:rsidR="00A9508E">
        <w:t>which is</w:t>
      </w:r>
      <w:r w:rsidR="006E5560" w:rsidRPr="00951F3B">
        <w:t xml:space="preserve"> documented in the validation report for this test guideline </w:t>
      </w:r>
      <w:r w:rsidR="006E5560" w:rsidRPr="00951F3B">
        <w:rPr>
          <w:noProof/>
        </w:rPr>
        <w:t>(OECD, 2010b)</w:t>
      </w:r>
      <w:r w:rsidR="00FB3527">
        <w:t>. In the ring test for</w:t>
      </w:r>
      <w:r w:rsidRPr="00951F3B">
        <w:t xml:space="preserve"> OECD guideline No. 225 </w:t>
      </w:r>
      <w:r w:rsidRPr="00951F3B">
        <w:rPr>
          <w:noProof/>
        </w:rPr>
        <w:t>(OECD, 2007)</w:t>
      </w:r>
      <w:r w:rsidRPr="00951F3B">
        <w:t xml:space="preserve">, Sediment-Water </w:t>
      </w:r>
      <w:r w:rsidRPr="00951F3B">
        <w:rPr>
          <w:i/>
        </w:rPr>
        <w:t xml:space="preserve">Lumbriculus </w:t>
      </w:r>
      <w:r w:rsidRPr="00951F3B">
        <w:t>Toxicity Test Using Spiked Sediment, with 15 laboratories and the substance pentachlorophenol coefficients of variation varied between 37.9% for the EC</w:t>
      </w:r>
      <w:r w:rsidRPr="00951F3B">
        <w:rPr>
          <w:vertAlign w:val="subscript"/>
        </w:rPr>
        <w:t>50</w:t>
      </w:r>
      <w:r w:rsidRPr="00951F3B">
        <w:t xml:space="preserve"> and 68.6% for the LOEC. The maximum inter</w:t>
      </w:r>
      <w:r w:rsidR="00FB3527">
        <w:t>-</w:t>
      </w:r>
      <w:r w:rsidRPr="00951F3B">
        <w:t>laboratory factor was 23.5 for the LOEC, which is even higher compared to the maximum inter</w:t>
      </w:r>
      <w:r w:rsidR="00FB3527">
        <w:t>-</w:t>
      </w:r>
      <w:r w:rsidRPr="00951F3B">
        <w:t>laboratory factor of 13.5 for the EC</w:t>
      </w:r>
      <w:r w:rsidRPr="00951F3B">
        <w:rPr>
          <w:vertAlign w:val="subscript"/>
        </w:rPr>
        <w:t>10</w:t>
      </w:r>
      <w:r w:rsidRPr="00951F3B">
        <w:t xml:space="preserve"> in the </w:t>
      </w:r>
      <w:r w:rsidR="006466B4" w:rsidRPr="002A7BAC">
        <w:rPr>
          <w:i/>
        </w:rPr>
        <w:t>P. antipodarum</w:t>
      </w:r>
      <w:r w:rsidR="0061433F">
        <w:t xml:space="preserve"> </w:t>
      </w:r>
      <w:r w:rsidRPr="00951F3B">
        <w:t>studies with TBT</w:t>
      </w:r>
      <w:r w:rsidR="0061433F">
        <w:t xml:space="preserve"> reported in this study</w:t>
      </w:r>
      <w:r w:rsidR="00033871">
        <w:t>, which is notoriously tricky to work with</w:t>
      </w:r>
      <w:r w:rsidRPr="00951F3B">
        <w:t>.</w:t>
      </w:r>
    </w:p>
    <w:p w:rsidR="009951C6" w:rsidRPr="00951F3B" w:rsidRDefault="0061433F" w:rsidP="00280083">
      <w:pPr>
        <w:pStyle w:val="Retraitcorpsdetexte21"/>
        <w:ind w:firstLine="0"/>
        <w:jc w:val="both"/>
      </w:pPr>
      <w:r>
        <w:lastRenderedPageBreak/>
        <w:t>In another</w:t>
      </w:r>
      <w:r w:rsidR="009951C6" w:rsidRPr="00951F3B">
        <w:t xml:space="preserve"> ring test study with </w:t>
      </w:r>
      <w:r>
        <w:t xml:space="preserve">the </w:t>
      </w:r>
      <w:r w:rsidRPr="00951F3B">
        <w:t>mollusc</w:t>
      </w:r>
      <w:r>
        <w:t xml:space="preserve"> </w:t>
      </w:r>
      <w:r w:rsidR="006466B4" w:rsidRPr="002A7BAC">
        <w:rPr>
          <w:i/>
        </w:rPr>
        <w:t>L. stagnalis</w:t>
      </w:r>
      <w:r w:rsidRPr="00951F3B">
        <w:rPr>
          <w:i/>
        </w:rPr>
        <w:t xml:space="preserve"> </w:t>
      </w:r>
      <w:r w:rsidR="009951C6" w:rsidRPr="00951F3B">
        <w:rPr>
          <w:noProof/>
        </w:rPr>
        <w:t>Ducrot et al. (2014)</w:t>
      </w:r>
      <w:r w:rsidR="009951C6" w:rsidRPr="00951F3B">
        <w:t xml:space="preserve"> found coefficients of variation</w:t>
      </w:r>
      <w:r w:rsidR="00FB3527">
        <w:t>s</w:t>
      </w:r>
      <w:r w:rsidR="009951C6" w:rsidRPr="00951F3B">
        <w:t xml:space="preserve"> </w:t>
      </w:r>
      <w:r w:rsidR="00FB3527">
        <w:t>of</w:t>
      </w:r>
      <w:r>
        <w:t xml:space="preserve"> </w:t>
      </w:r>
      <w:r w:rsidR="009951C6" w:rsidRPr="00951F3B">
        <w:t>29.5% and 71.5% for EC</w:t>
      </w:r>
      <w:r w:rsidR="009951C6" w:rsidRPr="00951F3B">
        <w:rPr>
          <w:vertAlign w:val="subscript"/>
        </w:rPr>
        <w:t>10</w:t>
      </w:r>
      <w:r w:rsidR="009951C6" w:rsidRPr="00951F3B">
        <w:t xml:space="preserve"> and EC</w:t>
      </w:r>
      <w:r w:rsidR="009951C6" w:rsidRPr="00951F3B">
        <w:rPr>
          <w:vertAlign w:val="subscript"/>
        </w:rPr>
        <w:t>50</w:t>
      </w:r>
      <w:r w:rsidR="009951C6" w:rsidRPr="00951F3B">
        <w:t xml:space="preserve"> values</w:t>
      </w:r>
      <w:r>
        <w:t>, respectively,</w:t>
      </w:r>
      <w:r w:rsidR="009951C6" w:rsidRPr="00951F3B">
        <w:t xml:space="preserve"> for 5 valid laboratories </w:t>
      </w:r>
      <w:r w:rsidR="00033871">
        <w:t xml:space="preserve">looking at </w:t>
      </w:r>
      <w:r w:rsidR="00FB3527">
        <w:t>an</w:t>
      </w:r>
      <w:r w:rsidR="009951C6" w:rsidRPr="00951F3B">
        <w:t xml:space="preserve"> endpoint </w:t>
      </w:r>
      <w:r>
        <w:t xml:space="preserve">of </w:t>
      </w:r>
      <w:r w:rsidR="009951C6" w:rsidRPr="00951F3B">
        <w:t xml:space="preserve">eggs per </w:t>
      </w:r>
      <w:r w:rsidR="00AC4A4C" w:rsidRPr="00951F3B">
        <w:t>individual</w:t>
      </w:r>
      <w:r w:rsidR="00AC4A4C">
        <w:t>-</w:t>
      </w:r>
      <w:r w:rsidR="009951C6" w:rsidRPr="00951F3B">
        <w:t xml:space="preserve">day </w:t>
      </w:r>
      <w:r>
        <w:t xml:space="preserve">and </w:t>
      </w:r>
      <w:r w:rsidR="009951C6" w:rsidRPr="00951F3B">
        <w:t>the heavy metal cadmium</w:t>
      </w:r>
      <w:r w:rsidR="00033871">
        <w:t>.</w:t>
      </w:r>
      <w:r w:rsidR="009951C6" w:rsidRPr="00951F3B">
        <w:t xml:space="preserve"> </w:t>
      </w:r>
      <w:r w:rsidR="00033871">
        <w:t>This is</w:t>
      </w:r>
      <w:r w:rsidR="009951C6" w:rsidRPr="00951F3B">
        <w:t xml:space="preserve"> comparable with the variability of effect data in our study.</w:t>
      </w:r>
    </w:p>
    <w:p w:rsidR="009951C6" w:rsidRPr="00951F3B" w:rsidRDefault="009951C6" w:rsidP="00280083">
      <w:pPr>
        <w:pStyle w:val="Retraitcorpsdetexte21"/>
        <w:ind w:firstLine="0"/>
        <w:jc w:val="both"/>
      </w:pPr>
      <w:r w:rsidRPr="00951F3B">
        <w:t xml:space="preserve">The higher coefficients of variation of values obtained in the studies with TBT are most probably caused by the fact that TBT has a much lower water solubility and </w:t>
      </w:r>
      <w:r w:rsidR="00EB254C">
        <w:t xml:space="preserve">higher </w:t>
      </w:r>
      <w:r w:rsidRPr="00951F3B">
        <w:t>degradation in the test system. Additionally, approximately 1000-fold lower test concentrations were tested</w:t>
      </w:r>
      <w:r w:rsidR="00AC4A4C">
        <w:t>,</w:t>
      </w:r>
      <w:r w:rsidRPr="00951F3B">
        <w:t xml:space="preserve"> </w:t>
      </w:r>
      <w:r w:rsidR="00AC4A4C" w:rsidRPr="00AC4A4C">
        <w:t xml:space="preserve">which also caused a higher experimental error in the laboratories </w:t>
      </w:r>
      <w:r w:rsidRPr="00951F3B">
        <w:t xml:space="preserve">and </w:t>
      </w:r>
      <w:r w:rsidR="00AC4A4C" w:rsidRPr="00951F3B">
        <w:t>measur</w:t>
      </w:r>
      <w:r w:rsidR="00AC4A4C">
        <w:t>ements</w:t>
      </w:r>
      <w:r w:rsidR="00921F8A">
        <w:t xml:space="preserve"> of concentration</w:t>
      </w:r>
      <w:r w:rsidR="00AC4A4C">
        <w:t>s</w:t>
      </w:r>
      <w:r w:rsidR="00921F8A">
        <w:t xml:space="preserve"> were only conducted at</w:t>
      </w:r>
      <w:r w:rsidR="00921F8A" w:rsidRPr="00951F3B">
        <w:t xml:space="preserve"> </w:t>
      </w:r>
      <w:r w:rsidRPr="00951F3B">
        <w:t>two renewal intervals</w:t>
      </w:r>
      <w:r w:rsidR="00921F8A">
        <w:t>. This would have caused higher experimental error in the calculation of the TWM for each laboratory.</w:t>
      </w:r>
    </w:p>
    <w:p w:rsidR="009951C6" w:rsidRPr="00951F3B" w:rsidRDefault="00B61A3A" w:rsidP="00280083">
      <w:pPr>
        <w:pStyle w:val="Retraitcorpsdetexte21"/>
        <w:ind w:firstLine="0"/>
        <w:jc w:val="both"/>
      </w:pPr>
      <w:r>
        <w:t>However, a</w:t>
      </w:r>
      <w:r w:rsidR="009951C6" w:rsidRPr="00951F3B">
        <w:t xml:space="preserve">nother point demonstrating the </w:t>
      </w:r>
      <w:r w:rsidR="00033871">
        <w:t>usability</w:t>
      </w:r>
      <w:r w:rsidR="00033871" w:rsidRPr="00951F3B">
        <w:t xml:space="preserve"> </w:t>
      </w:r>
      <w:r w:rsidR="009951C6" w:rsidRPr="00951F3B">
        <w:t xml:space="preserve">of the reproduction test with </w:t>
      </w:r>
      <w:r w:rsidR="009951C6" w:rsidRPr="00951F3B">
        <w:rPr>
          <w:i/>
        </w:rPr>
        <w:t>P. antipodarum</w:t>
      </w:r>
      <w:r w:rsidR="009951C6" w:rsidRPr="00951F3B">
        <w:t xml:space="preserve"> is that only 2 out of 18 tests </w:t>
      </w:r>
      <w:r w:rsidR="00921F8A">
        <w:t>failed to meet the validity criteria</w:t>
      </w:r>
      <w:r w:rsidR="009951C6" w:rsidRPr="00951F3B">
        <w:t xml:space="preserve">. In laboratory 2K this was due to technical issues </w:t>
      </w:r>
      <w:r w:rsidR="00921F8A">
        <w:t>causing the mean temperature to fluctuate outside the proposed validity criteria limit of 16 ± 1ºC.</w:t>
      </w:r>
      <w:r w:rsidR="009951C6" w:rsidRPr="00951F3B">
        <w:t xml:space="preserve"> In laboratory 2J the mortality in the solvent control was 30% for unknown reasons. The </w:t>
      </w:r>
      <w:r w:rsidR="008F1170" w:rsidRPr="00951F3B">
        <w:t xml:space="preserve">snails in the </w:t>
      </w:r>
      <w:r w:rsidR="00AC4A4C">
        <w:t>water</w:t>
      </w:r>
      <w:r w:rsidR="009951C6" w:rsidRPr="00951F3B">
        <w:t xml:space="preserve"> control group in this test were not negatively affected. </w:t>
      </w:r>
    </w:p>
    <w:p w:rsidR="009951C6" w:rsidRPr="00951F3B" w:rsidRDefault="009951C6" w:rsidP="00280083">
      <w:pPr>
        <w:pStyle w:val="Retraitcorpsdetexte21"/>
        <w:ind w:firstLine="0"/>
        <w:jc w:val="both"/>
      </w:pPr>
    </w:p>
    <w:p w:rsidR="009951C6" w:rsidRPr="00951F3B" w:rsidRDefault="009951C6" w:rsidP="00280083">
      <w:pPr>
        <w:pStyle w:val="Retraitcorpsdetexte21"/>
        <w:ind w:firstLine="0"/>
        <w:jc w:val="both"/>
        <w:rPr>
          <w:i/>
        </w:rPr>
      </w:pPr>
      <w:r w:rsidRPr="00951F3B">
        <w:rPr>
          <w:i/>
        </w:rPr>
        <w:t>Cadmium</w:t>
      </w:r>
    </w:p>
    <w:p w:rsidR="009951C6" w:rsidRPr="00951F3B" w:rsidRDefault="009951C6" w:rsidP="00280083">
      <w:pPr>
        <w:pStyle w:val="Retraitcorpsdetexte21"/>
        <w:ind w:firstLine="0"/>
        <w:jc w:val="both"/>
      </w:pPr>
      <w:r w:rsidRPr="00951F3B">
        <w:t xml:space="preserve">The </w:t>
      </w:r>
      <w:r w:rsidR="00AC4A4C">
        <w:t xml:space="preserve">estimated </w:t>
      </w:r>
      <w:r w:rsidRPr="00951F3B">
        <w:t>effect concentrations</w:t>
      </w:r>
      <w:r w:rsidR="0021631E" w:rsidRPr="00951F3B">
        <w:t xml:space="preserve"> </w:t>
      </w:r>
      <w:r w:rsidRPr="00951F3B">
        <w:t xml:space="preserve">in the studies with cadmium are in the range of effect data of already published data with </w:t>
      </w:r>
      <w:r w:rsidRPr="00951F3B">
        <w:rPr>
          <w:i/>
        </w:rPr>
        <w:t>P. antipodarum</w:t>
      </w:r>
      <w:r w:rsidRPr="00951F3B">
        <w:t xml:space="preserve">. In similar reproduction tests, </w:t>
      </w:r>
      <w:r w:rsidRPr="00951F3B">
        <w:rPr>
          <w:noProof/>
        </w:rPr>
        <w:t>Sieratowicz et al. (2011)</w:t>
      </w:r>
      <w:r w:rsidRPr="00951F3B">
        <w:t xml:space="preserve"> and Ruppert et al. (2016) found EC</w:t>
      </w:r>
      <w:r w:rsidRPr="00951F3B">
        <w:rPr>
          <w:vertAlign w:val="subscript"/>
        </w:rPr>
        <w:t>10</w:t>
      </w:r>
      <w:r w:rsidRPr="00951F3B">
        <w:t xml:space="preserve"> values of 1.30 µg/L and 9.73 µg/L and EC</w:t>
      </w:r>
      <w:r w:rsidRPr="00951F3B">
        <w:rPr>
          <w:vertAlign w:val="subscript"/>
        </w:rPr>
        <w:t>50</w:t>
      </w:r>
      <w:r w:rsidRPr="00951F3B">
        <w:t xml:space="preserve"> values of 11.5 µg/L and 11.3 µg/L, respectively</w:t>
      </w:r>
      <w:r w:rsidR="00EB254C">
        <w:t>.</w:t>
      </w:r>
      <w:r w:rsidRPr="00951F3B">
        <w:t xml:space="preserve"> </w:t>
      </w:r>
      <w:r w:rsidR="00EB254C">
        <w:t>D</w:t>
      </w:r>
      <w:r w:rsidR="00EB254C" w:rsidRPr="00951F3B">
        <w:t xml:space="preserve">ata </w:t>
      </w:r>
      <w:r w:rsidRPr="00951F3B">
        <w:t xml:space="preserve">obtained by </w:t>
      </w:r>
      <w:r w:rsidRPr="00951F3B">
        <w:rPr>
          <w:noProof/>
        </w:rPr>
        <w:t>Sieratowicz et al. (2011)</w:t>
      </w:r>
      <w:r w:rsidRPr="00951F3B">
        <w:t xml:space="preserve"> </w:t>
      </w:r>
      <w:r w:rsidR="00EB254C">
        <w:t xml:space="preserve">were </w:t>
      </w:r>
      <w:r w:rsidRPr="00951F3B">
        <w:t xml:space="preserve">based on nominal concentrations. In comparison to the standard test organism </w:t>
      </w:r>
      <w:r w:rsidRPr="00951F3B">
        <w:rPr>
          <w:i/>
        </w:rPr>
        <w:t>D. magna</w:t>
      </w:r>
      <w:r w:rsidRPr="00951F3B">
        <w:t xml:space="preserve">, </w:t>
      </w:r>
      <w:r w:rsidRPr="00951F3B">
        <w:rPr>
          <w:i/>
        </w:rPr>
        <w:t>P. antipodarum</w:t>
      </w:r>
      <w:r w:rsidRPr="00951F3B">
        <w:t xml:space="preserve"> shows a </w:t>
      </w:r>
      <w:r w:rsidR="009025A8">
        <w:t>similar</w:t>
      </w:r>
      <w:r w:rsidR="009025A8" w:rsidRPr="00951F3B">
        <w:t xml:space="preserve"> </w:t>
      </w:r>
      <w:r w:rsidRPr="00951F3B">
        <w:t xml:space="preserve">sensitivity. </w:t>
      </w:r>
      <w:r w:rsidRPr="00951F3B">
        <w:rPr>
          <w:noProof/>
        </w:rPr>
        <w:t>Borgmann et al. (1989)</w:t>
      </w:r>
      <w:r w:rsidRPr="00951F3B">
        <w:t xml:space="preserve"> found a reproductive inhibition of about 82.1% at 7.78</w:t>
      </w:r>
      <w:r w:rsidR="00AC4A4C">
        <w:t> </w:t>
      </w:r>
      <w:r w:rsidRPr="00951F3B">
        <w:t>µg/L</w:t>
      </w:r>
      <w:r w:rsidR="0083231D">
        <w:t xml:space="preserve"> for </w:t>
      </w:r>
      <w:r w:rsidR="0083231D">
        <w:rPr>
          <w:i/>
        </w:rPr>
        <w:t>D. magna</w:t>
      </w:r>
      <w:r w:rsidRPr="00951F3B">
        <w:t xml:space="preserve">. In comparison to </w:t>
      </w:r>
      <w:r w:rsidR="00EB254C">
        <w:t>a</w:t>
      </w:r>
      <w:r w:rsidR="00EB254C" w:rsidRPr="00951F3B">
        <w:t xml:space="preserve"> </w:t>
      </w:r>
      <w:r w:rsidRPr="00951F3B">
        <w:t xml:space="preserve">study with the </w:t>
      </w:r>
      <w:r w:rsidR="00EB254C">
        <w:lastRenderedPageBreak/>
        <w:t xml:space="preserve">gastropod </w:t>
      </w:r>
      <w:r w:rsidRPr="00951F3B">
        <w:t xml:space="preserve">mollusc species, </w:t>
      </w:r>
      <w:r w:rsidRPr="00951F3B">
        <w:rPr>
          <w:i/>
        </w:rPr>
        <w:t>L. stagnalis</w:t>
      </w:r>
      <w:r w:rsidR="0021631E">
        <w:rPr>
          <w:i/>
        </w:rPr>
        <w:t xml:space="preserve"> </w:t>
      </w:r>
      <w:r w:rsidR="0021631E" w:rsidRPr="00951F3B">
        <w:rPr>
          <w:noProof/>
        </w:rPr>
        <w:t>(Ducrot et al., 2014)</w:t>
      </w:r>
      <w:r w:rsidRPr="00951F3B">
        <w:t xml:space="preserve">, </w:t>
      </w:r>
      <w:r w:rsidRPr="00951F3B">
        <w:rPr>
          <w:i/>
        </w:rPr>
        <w:t>P. antipodarum</w:t>
      </w:r>
      <w:r w:rsidRPr="00951F3B">
        <w:t xml:space="preserve"> displayed a higher sensitivity to cadmium. </w:t>
      </w:r>
      <w:r w:rsidR="0021631E">
        <w:t>These authors found that</w:t>
      </w:r>
      <w:r w:rsidRPr="00951F3B">
        <w:t xml:space="preserve"> the mean EC</w:t>
      </w:r>
      <w:r w:rsidRPr="00951F3B">
        <w:rPr>
          <w:vertAlign w:val="subscript"/>
        </w:rPr>
        <w:t>50</w:t>
      </w:r>
      <w:r w:rsidRPr="00951F3B">
        <w:t xml:space="preserve"> was 94.5 µg/L, which is 6.7-fold higher compared to the mean EC</w:t>
      </w:r>
      <w:r w:rsidRPr="00951F3B">
        <w:rPr>
          <w:vertAlign w:val="subscript"/>
        </w:rPr>
        <w:t>50</w:t>
      </w:r>
      <w:r w:rsidRPr="00951F3B">
        <w:t xml:space="preserve"> of 14.2 </w:t>
      </w:r>
      <w:r w:rsidR="009025A8">
        <w:t xml:space="preserve">µg/L </w:t>
      </w:r>
      <w:r w:rsidRPr="00951F3B">
        <w:t xml:space="preserve">in </w:t>
      </w:r>
      <w:r w:rsidR="00EB254C">
        <w:t>the present</w:t>
      </w:r>
      <w:r w:rsidR="00EB254C" w:rsidRPr="00951F3B">
        <w:t xml:space="preserve"> </w:t>
      </w:r>
      <w:r w:rsidRPr="00951F3B">
        <w:t xml:space="preserve">study. </w:t>
      </w:r>
    </w:p>
    <w:p w:rsidR="009951C6" w:rsidRPr="00951F3B" w:rsidRDefault="009951C6" w:rsidP="00280083">
      <w:pPr>
        <w:pStyle w:val="Retraitcorpsdetexte21"/>
        <w:ind w:firstLine="0"/>
        <w:jc w:val="both"/>
      </w:pPr>
      <w:r w:rsidRPr="00951F3B">
        <w:t xml:space="preserve">The reason for the comparably high sensitivity of snails in laboratory 1B could be that the tested snails were partially from the cohort sent with the first batch, which showed a high post-shipping mortality. Therefore, </w:t>
      </w:r>
      <w:r w:rsidR="00AC4A4C">
        <w:t>part</w:t>
      </w:r>
      <w:r w:rsidR="0083231D" w:rsidRPr="00951F3B">
        <w:t xml:space="preserve"> </w:t>
      </w:r>
      <w:r w:rsidRPr="00951F3B">
        <w:t xml:space="preserve">of the tested snails might have been in a </w:t>
      </w:r>
      <w:r w:rsidR="0083231D">
        <w:t>poor</w:t>
      </w:r>
      <w:r w:rsidR="0083231D" w:rsidRPr="00951F3B">
        <w:t xml:space="preserve"> </w:t>
      </w:r>
      <w:r w:rsidRPr="00951F3B">
        <w:t xml:space="preserve">condition for unknown reasons resulting in </w:t>
      </w:r>
      <w:r w:rsidR="0083231D">
        <w:t>lower</w:t>
      </w:r>
      <w:r w:rsidRPr="00951F3B">
        <w:t xml:space="preserve"> effect concentrations. Because we cannot exclude</w:t>
      </w:r>
      <w:r w:rsidR="0021631E">
        <w:t xml:space="preserve"> such confounding</w:t>
      </w:r>
      <w:r w:rsidRPr="00951F3B">
        <w:t xml:space="preserve"> factors, like for example illness, that could have influenced the outcome of this study, we excluded laboratory 1B from the overall evaluation. </w:t>
      </w:r>
    </w:p>
    <w:p w:rsidR="009951C6" w:rsidRPr="00951F3B" w:rsidRDefault="009951C6" w:rsidP="00280083">
      <w:pPr>
        <w:pStyle w:val="Retraitcorpsdetexte21"/>
        <w:ind w:firstLine="0"/>
        <w:jc w:val="both"/>
      </w:pPr>
    </w:p>
    <w:p w:rsidR="009951C6" w:rsidRPr="00951F3B" w:rsidRDefault="009951C6" w:rsidP="00280083">
      <w:pPr>
        <w:pStyle w:val="Retraitcorpsdetexte21"/>
        <w:ind w:firstLine="0"/>
        <w:jc w:val="both"/>
        <w:rPr>
          <w:i/>
        </w:rPr>
      </w:pPr>
      <w:r w:rsidRPr="00951F3B">
        <w:rPr>
          <w:i/>
        </w:rPr>
        <w:t>TBT</w:t>
      </w:r>
    </w:p>
    <w:p w:rsidR="009951C6" w:rsidRPr="00951F3B" w:rsidRDefault="009951C6" w:rsidP="00280083">
      <w:pPr>
        <w:autoSpaceDE w:val="0"/>
        <w:autoSpaceDN w:val="0"/>
        <w:adjustRightInd w:val="0"/>
        <w:spacing w:line="480" w:lineRule="auto"/>
        <w:jc w:val="both"/>
        <w:rPr>
          <w:rFonts w:eastAsia="Interstate-BoldCondensed"/>
          <w:bCs/>
          <w:lang w:val="en-GB"/>
        </w:rPr>
      </w:pPr>
      <w:r w:rsidRPr="00951F3B">
        <w:rPr>
          <w:lang w:val="en-GB"/>
        </w:rPr>
        <w:t xml:space="preserve">The effects of TBT on </w:t>
      </w:r>
      <w:r w:rsidRPr="00951F3B">
        <w:rPr>
          <w:i/>
          <w:lang w:val="en-GB"/>
        </w:rPr>
        <w:t>P. antipodarum</w:t>
      </w:r>
      <w:r w:rsidRPr="00951F3B">
        <w:rPr>
          <w:lang w:val="en-GB"/>
        </w:rPr>
        <w:t xml:space="preserve"> reproduction occurred at very low concentrations within the order of ng/L and are in accordance with EC</w:t>
      </w:r>
      <w:r w:rsidRPr="00951F3B">
        <w:rPr>
          <w:vertAlign w:val="subscript"/>
          <w:lang w:val="en-GB"/>
        </w:rPr>
        <w:t>10</w:t>
      </w:r>
      <w:r w:rsidRPr="00951F3B">
        <w:rPr>
          <w:lang w:val="en-GB"/>
        </w:rPr>
        <w:t xml:space="preserve"> and EC</w:t>
      </w:r>
      <w:r w:rsidRPr="00951F3B">
        <w:rPr>
          <w:vertAlign w:val="subscript"/>
          <w:lang w:val="en-GB"/>
        </w:rPr>
        <w:t>50</w:t>
      </w:r>
      <w:r w:rsidRPr="00951F3B">
        <w:rPr>
          <w:lang w:val="en-GB"/>
        </w:rPr>
        <w:t xml:space="preserve"> values of 37.8 ng </w:t>
      </w:r>
      <w:r w:rsidR="00AC4A4C">
        <w:rPr>
          <w:lang w:val="en-GB"/>
        </w:rPr>
        <w:t>TBT-</w:t>
      </w:r>
      <w:r w:rsidRPr="00951F3B">
        <w:rPr>
          <w:lang w:val="en-GB"/>
        </w:rPr>
        <w:t>Sn/L and 115 ng</w:t>
      </w:r>
      <w:r w:rsidR="006E2B28" w:rsidRPr="00951F3B">
        <w:rPr>
          <w:lang w:val="en-GB"/>
        </w:rPr>
        <w:t> </w:t>
      </w:r>
      <w:r w:rsidR="00AC4A4C">
        <w:rPr>
          <w:lang w:val="en-GB"/>
        </w:rPr>
        <w:t>TBT-</w:t>
      </w:r>
      <w:r w:rsidRPr="00951F3B">
        <w:rPr>
          <w:lang w:val="en-GB"/>
        </w:rPr>
        <w:t xml:space="preserve">Sn/L, respectively reported by </w:t>
      </w:r>
      <w:r w:rsidRPr="00951F3B">
        <w:rPr>
          <w:noProof/>
          <w:lang w:val="en-GB"/>
        </w:rPr>
        <w:t>Duft et al. (2003)</w:t>
      </w:r>
      <w:r w:rsidRPr="00951F3B">
        <w:rPr>
          <w:lang w:val="en-GB"/>
        </w:rPr>
        <w:t xml:space="preserve"> for an 8</w:t>
      </w:r>
      <w:r w:rsidR="0021631E">
        <w:rPr>
          <w:lang w:val="en-GB"/>
        </w:rPr>
        <w:t>-</w:t>
      </w:r>
      <w:r w:rsidRPr="00951F3B">
        <w:rPr>
          <w:lang w:val="en-GB"/>
        </w:rPr>
        <w:t xml:space="preserve">weeks experiment. Considering that only two measuring intervals were used </w:t>
      </w:r>
      <w:r w:rsidR="0083231D">
        <w:rPr>
          <w:lang w:val="en-GB"/>
        </w:rPr>
        <w:t>to calculate the</w:t>
      </w:r>
      <w:r w:rsidR="0083231D" w:rsidRPr="00951F3B">
        <w:rPr>
          <w:lang w:val="en-GB"/>
        </w:rPr>
        <w:t xml:space="preserve"> </w:t>
      </w:r>
      <w:r w:rsidR="00A0531B">
        <w:rPr>
          <w:lang w:val="en-GB"/>
        </w:rPr>
        <w:t xml:space="preserve">time weighted mean </w:t>
      </w:r>
      <w:r w:rsidR="0083231D">
        <w:rPr>
          <w:lang w:val="en-GB"/>
        </w:rPr>
        <w:t>measured concentration and subsequent</w:t>
      </w:r>
      <w:r w:rsidR="0083231D" w:rsidRPr="00951F3B" w:rsidDel="0083231D">
        <w:rPr>
          <w:lang w:val="en-GB"/>
        </w:rPr>
        <w:t xml:space="preserve"> </w:t>
      </w:r>
      <w:r w:rsidRPr="00951F3B">
        <w:rPr>
          <w:lang w:val="en-GB"/>
        </w:rPr>
        <w:t xml:space="preserve">effect concentrations with a </w:t>
      </w:r>
      <w:r w:rsidR="00A13710" w:rsidRPr="00951F3B">
        <w:rPr>
          <w:lang w:val="en-GB"/>
        </w:rPr>
        <w:t>difficult</w:t>
      </w:r>
      <w:r w:rsidR="0021631E">
        <w:rPr>
          <w:lang w:val="en-GB"/>
        </w:rPr>
        <w:t>-</w:t>
      </w:r>
      <w:r w:rsidRPr="00951F3B">
        <w:rPr>
          <w:lang w:val="en-GB"/>
        </w:rPr>
        <w:t>to</w:t>
      </w:r>
      <w:r w:rsidR="0021631E">
        <w:rPr>
          <w:lang w:val="en-GB"/>
        </w:rPr>
        <w:t>-</w:t>
      </w:r>
      <w:r w:rsidRPr="00951F3B">
        <w:rPr>
          <w:lang w:val="en-GB"/>
        </w:rPr>
        <w:t>handle substance like TBT</w:t>
      </w:r>
      <w:r w:rsidR="00414D0C">
        <w:rPr>
          <w:lang w:val="en-GB"/>
        </w:rPr>
        <w:t>,</w:t>
      </w:r>
      <w:r w:rsidRPr="00951F3B">
        <w:rPr>
          <w:lang w:val="en-GB"/>
        </w:rPr>
        <w:t xml:space="preserve"> the results of the validation studies showed a very good accordance among </w:t>
      </w:r>
      <w:r w:rsidR="00414D0C">
        <w:rPr>
          <w:lang w:val="en-GB"/>
        </w:rPr>
        <w:t>participating laboratories</w:t>
      </w:r>
      <w:r w:rsidRPr="00951F3B">
        <w:rPr>
          <w:lang w:val="en-GB"/>
        </w:rPr>
        <w:t xml:space="preserve">. The higher or comparable sensitivity of </w:t>
      </w:r>
      <w:r w:rsidRPr="00951F3B">
        <w:rPr>
          <w:i/>
          <w:lang w:val="en-GB"/>
        </w:rPr>
        <w:t>P. antipodarum</w:t>
      </w:r>
      <w:r w:rsidRPr="00951F3B">
        <w:rPr>
          <w:lang w:val="en-GB"/>
        </w:rPr>
        <w:t xml:space="preserve"> towards this endocrine disrupting substance in comparison to other standard test organisms could also be demonstrated. </w:t>
      </w:r>
      <w:r w:rsidRPr="00951F3B">
        <w:rPr>
          <w:rFonts w:eastAsia="Interstate-BoldCondensed"/>
          <w:bCs/>
          <w:lang w:val="en-GB"/>
        </w:rPr>
        <w:t xml:space="preserve">In a study with </w:t>
      </w:r>
      <w:r w:rsidRPr="00951F3B">
        <w:rPr>
          <w:rFonts w:eastAsia="Interstate-BoldCondensed"/>
          <w:bCs/>
          <w:i/>
          <w:lang w:val="en-GB"/>
        </w:rPr>
        <w:t>D. magna</w:t>
      </w:r>
      <w:r w:rsidRPr="00951F3B">
        <w:rPr>
          <w:rFonts w:eastAsia="Interstate-BoldCondensed"/>
          <w:bCs/>
          <w:lang w:val="en-GB"/>
        </w:rPr>
        <w:t xml:space="preserve"> and TBT-oxide</w:t>
      </w:r>
      <w:r w:rsidR="00414D0C">
        <w:rPr>
          <w:rFonts w:eastAsia="Interstate-BoldCondensed"/>
          <w:bCs/>
          <w:lang w:val="en-GB"/>
        </w:rPr>
        <w:t>,</w:t>
      </w:r>
      <w:r w:rsidRPr="00951F3B">
        <w:rPr>
          <w:rFonts w:eastAsia="Interstate-BoldCondensed"/>
          <w:bCs/>
          <w:lang w:val="en-GB"/>
        </w:rPr>
        <w:t xml:space="preserve"> the detected LOEC was 1.8 µg TBTO/L (</w:t>
      </w:r>
      <w:r w:rsidR="00414D0C">
        <w:rPr>
          <w:rFonts w:ascii="Cambria Math" w:eastAsia="Interstate-BoldCondensed" w:hAnsi="Cambria Math" w:cs="Cambria Math"/>
          <w:bCs/>
          <w:lang w:val="en-GB"/>
        </w:rPr>
        <w:sym w:font="Symbol" w:char="F0BA"/>
      </w:r>
      <w:r w:rsidRPr="00951F3B">
        <w:rPr>
          <w:rFonts w:eastAsia="Interstate-BoldCondensed"/>
          <w:bCs/>
          <w:lang w:val="en-GB"/>
        </w:rPr>
        <w:t xml:space="preserve"> 716 ng TBT-Sn/L) and the NOEC was 1.0 µg TBTO/L (</w:t>
      </w:r>
      <w:r w:rsidR="00414D0C">
        <w:rPr>
          <w:rFonts w:ascii="Cambria Math" w:eastAsia="Interstate-BoldCondensed" w:hAnsi="Cambria Math" w:cs="Cambria Math"/>
          <w:bCs/>
          <w:lang w:val="en-GB"/>
        </w:rPr>
        <w:sym w:font="Symbol" w:char="F0BA"/>
      </w:r>
      <w:r w:rsidRPr="00951F3B">
        <w:rPr>
          <w:rFonts w:eastAsia="Interstate-BoldCondensed"/>
          <w:bCs/>
          <w:lang w:val="en-GB"/>
        </w:rPr>
        <w:t xml:space="preserve"> 398 ng TBT-Sn/L) </w:t>
      </w:r>
      <w:r w:rsidRPr="00951F3B">
        <w:rPr>
          <w:rFonts w:eastAsia="Interstate-BoldCondensed"/>
          <w:bCs/>
          <w:noProof/>
          <w:lang w:val="en-GB"/>
        </w:rPr>
        <w:t>(Mathijssen-Spiekmann, 1989)</w:t>
      </w:r>
      <w:r w:rsidRPr="00951F3B">
        <w:rPr>
          <w:rFonts w:eastAsia="Interstate-BoldCondensed"/>
          <w:bCs/>
          <w:lang w:val="en-GB"/>
        </w:rPr>
        <w:t xml:space="preserve">. </w:t>
      </w:r>
      <w:r w:rsidR="00A13710" w:rsidRPr="00951F3B">
        <w:rPr>
          <w:rFonts w:eastAsia="Interstate-BoldCondensed"/>
          <w:bCs/>
          <w:lang w:val="en-GB"/>
        </w:rPr>
        <w:t xml:space="preserve">In experiments </w:t>
      </w:r>
      <w:r w:rsidRPr="00951F3B">
        <w:rPr>
          <w:rFonts w:eastAsia="Interstate-BoldCondensed"/>
          <w:bCs/>
          <w:lang w:val="en-GB"/>
        </w:rPr>
        <w:t xml:space="preserve">conducted by </w:t>
      </w:r>
      <w:r w:rsidRPr="00951F3B">
        <w:rPr>
          <w:rFonts w:eastAsia="Interstate-BoldCondensed"/>
          <w:bCs/>
          <w:noProof/>
          <w:lang w:val="en-GB"/>
        </w:rPr>
        <w:t>McAllister and Kime (2003)</w:t>
      </w:r>
      <w:r w:rsidRPr="00951F3B">
        <w:rPr>
          <w:rFonts w:eastAsia="Interstate-BoldCondensed"/>
          <w:bCs/>
          <w:lang w:val="en-GB"/>
        </w:rPr>
        <w:t xml:space="preserve"> with </w:t>
      </w:r>
      <w:r w:rsidR="00414D0C">
        <w:rPr>
          <w:rFonts w:eastAsia="Interstate-BoldCondensed"/>
          <w:bCs/>
          <w:lang w:val="en-GB"/>
        </w:rPr>
        <w:t>zebrafish</w:t>
      </w:r>
      <w:r w:rsidRPr="00951F3B">
        <w:rPr>
          <w:rFonts w:eastAsia="Interstate-BoldCondensed"/>
          <w:bCs/>
          <w:lang w:val="en-GB"/>
        </w:rPr>
        <w:t xml:space="preserve"> </w:t>
      </w:r>
      <w:r w:rsidR="00414D0C">
        <w:rPr>
          <w:rFonts w:eastAsia="Interstate-BoldCondensed"/>
          <w:bCs/>
          <w:lang w:val="en-GB"/>
        </w:rPr>
        <w:t>(</w:t>
      </w:r>
      <w:r w:rsidRPr="00951F3B">
        <w:rPr>
          <w:rFonts w:eastAsia="Interstate-BoldCondensed"/>
          <w:bCs/>
          <w:i/>
          <w:lang w:val="en-GB"/>
        </w:rPr>
        <w:t>Danio rerio</w:t>
      </w:r>
      <w:r w:rsidR="006466B4" w:rsidRPr="002A7BAC">
        <w:rPr>
          <w:rFonts w:eastAsia="Interstate-BoldCondensed"/>
          <w:bCs/>
          <w:lang w:val="en-GB"/>
        </w:rPr>
        <w:t>)</w:t>
      </w:r>
      <w:r w:rsidRPr="00951F3B">
        <w:rPr>
          <w:rFonts w:eastAsia="Interstate-BoldCondensed"/>
          <w:bCs/>
          <w:lang w:val="en-GB"/>
        </w:rPr>
        <w:t xml:space="preserve"> 0.1 ng TBT/L and higher concentrations induced a male biased population producing a high incidence of sperm lacking flagella after a 70</w:t>
      </w:r>
      <w:r w:rsidR="0021631E">
        <w:rPr>
          <w:rFonts w:eastAsia="Interstate-BoldCondensed"/>
          <w:bCs/>
          <w:lang w:val="en-GB"/>
        </w:rPr>
        <w:t>-</w:t>
      </w:r>
      <w:r w:rsidRPr="00951F3B">
        <w:rPr>
          <w:rFonts w:eastAsia="Interstate-BoldCondensed"/>
          <w:bCs/>
          <w:lang w:val="en-GB"/>
        </w:rPr>
        <w:t xml:space="preserve">days post-hatch exposure. In other </w:t>
      </w:r>
      <w:r w:rsidR="006E2B28">
        <w:rPr>
          <w:rFonts w:eastAsia="Interstate-BoldCondensed"/>
          <w:bCs/>
          <w:lang w:val="en-GB"/>
        </w:rPr>
        <w:t>caeno</w:t>
      </w:r>
      <w:r w:rsidR="006E2B28" w:rsidRPr="00951F3B">
        <w:rPr>
          <w:rFonts w:eastAsia="Interstate-BoldCondensed"/>
          <w:bCs/>
          <w:lang w:val="en-GB"/>
        </w:rPr>
        <w:t xml:space="preserve">gastropod </w:t>
      </w:r>
      <w:r w:rsidRPr="00951F3B">
        <w:rPr>
          <w:rFonts w:eastAsia="Interstate-BoldCondensed"/>
          <w:bCs/>
          <w:lang w:val="en-GB"/>
        </w:rPr>
        <w:t>species TBT is known to induce imposex, an imposition of male characteristics in females</w:t>
      </w:r>
      <w:r w:rsidR="00DB6436" w:rsidRPr="000962C6">
        <w:rPr>
          <w:lang w:val="en-GB"/>
        </w:rPr>
        <w:t xml:space="preserve"> (Giraud-Billoud et </w:t>
      </w:r>
      <w:r w:rsidR="00DB6436" w:rsidRPr="000962C6">
        <w:rPr>
          <w:lang w:val="en-GB"/>
        </w:rPr>
        <w:lastRenderedPageBreak/>
        <w:t>al., 2013)</w:t>
      </w:r>
      <w:r w:rsidRPr="00951F3B">
        <w:rPr>
          <w:rFonts w:eastAsia="Interstate-BoldCondensed"/>
          <w:bCs/>
          <w:lang w:val="en-GB"/>
        </w:rPr>
        <w:t xml:space="preserve">. One of the most sensitive </w:t>
      </w:r>
      <w:r w:rsidR="005A4945">
        <w:rPr>
          <w:rFonts w:eastAsia="Interstate-BoldCondensed"/>
          <w:bCs/>
          <w:lang w:val="en-GB"/>
        </w:rPr>
        <w:t xml:space="preserve">mollusc </w:t>
      </w:r>
      <w:r w:rsidRPr="00951F3B">
        <w:rPr>
          <w:rFonts w:eastAsia="Interstate-BoldCondensed"/>
          <w:bCs/>
          <w:lang w:val="en-GB"/>
        </w:rPr>
        <w:t xml:space="preserve">species to TBT is the dogwhelk, </w:t>
      </w:r>
      <w:r w:rsidRPr="00951F3B">
        <w:rPr>
          <w:rFonts w:eastAsia="Interstate-BoldCondensed"/>
          <w:bCs/>
          <w:i/>
          <w:lang w:val="en-GB"/>
        </w:rPr>
        <w:t>Nucella lapillus</w:t>
      </w:r>
      <w:r w:rsidRPr="00951F3B">
        <w:rPr>
          <w:rFonts w:eastAsia="Interstate-BoldCondensed"/>
          <w:bCs/>
          <w:lang w:val="en-GB"/>
        </w:rPr>
        <w:t>. Female specimen</w:t>
      </w:r>
      <w:r w:rsidR="00A13710" w:rsidRPr="00951F3B">
        <w:rPr>
          <w:rFonts w:eastAsia="Interstate-BoldCondensed"/>
          <w:bCs/>
          <w:lang w:val="en-GB"/>
        </w:rPr>
        <w:t>s</w:t>
      </w:r>
      <w:r w:rsidRPr="00951F3B">
        <w:rPr>
          <w:rFonts w:eastAsia="Interstate-BoldCondensed"/>
          <w:bCs/>
          <w:lang w:val="en-GB"/>
        </w:rPr>
        <w:t xml:space="preserve"> show an increase of imposex after 4 weeks at concentrations below 5 ng TBT-Sn/L </w:t>
      </w:r>
      <w:r w:rsidRPr="00951F3B">
        <w:rPr>
          <w:rFonts w:eastAsia="Interstate-BoldCondensed"/>
          <w:bCs/>
          <w:noProof/>
          <w:lang w:val="en-GB"/>
        </w:rPr>
        <w:t>(Stroben</w:t>
      </w:r>
      <w:r w:rsidR="00A13710" w:rsidRPr="00951F3B">
        <w:rPr>
          <w:rFonts w:eastAsia="Interstate-BoldCondensed"/>
          <w:bCs/>
          <w:noProof/>
          <w:lang w:val="en-GB"/>
        </w:rPr>
        <w:t xml:space="preserve"> et al.</w:t>
      </w:r>
      <w:r w:rsidRPr="00951F3B">
        <w:rPr>
          <w:rFonts w:eastAsia="Interstate-BoldCondensed"/>
          <w:bCs/>
          <w:noProof/>
          <w:lang w:val="en-GB"/>
        </w:rPr>
        <w:t xml:space="preserve">, </w:t>
      </w:r>
      <w:r w:rsidR="00A13710" w:rsidRPr="00951F3B">
        <w:rPr>
          <w:rFonts w:eastAsia="Interstate-BoldCondensed"/>
          <w:bCs/>
          <w:noProof/>
          <w:lang w:val="en-GB"/>
        </w:rPr>
        <w:t>1992</w:t>
      </w:r>
      <w:r w:rsidRPr="00951F3B">
        <w:rPr>
          <w:rFonts w:eastAsia="Interstate-BoldCondensed"/>
          <w:bCs/>
          <w:noProof/>
          <w:lang w:val="en-GB"/>
        </w:rPr>
        <w:t>)</w:t>
      </w:r>
      <w:r w:rsidRPr="00951F3B">
        <w:rPr>
          <w:rFonts w:eastAsia="Interstate-BoldCondensed"/>
          <w:bCs/>
          <w:lang w:val="en-GB"/>
        </w:rPr>
        <w:t>.</w:t>
      </w:r>
      <w:r w:rsidRPr="00951F3B">
        <w:rPr>
          <w:rFonts w:eastAsia="Interstate-BoldCondensed"/>
          <w:bCs/>
          <w:i/>
          <w:lang w:val="en-GB"/>
        </w:rPr>
        <w:t xml:space="preserve"> </w:t>
      </w:r>
    </w:p>
    <w:p w:rsidR="009951C6" w:rsidRPr="00951F3B" w:rsidRDefault="009951C6" w:rsidP="00280083">
      <w:pPr>
        <w:autoSpaceDE w:val="0"/>
        <w:autoSpaceDN w:val="0"/>
        <w:adjustRightInd w:val="0"/>
        <w:spacing w:line="480" w:lineRule="auto"/>
        <w:jc w:val="both"/>
        <w:rPr>
          <w:rFonts w:eastAsia="Interstate-BoldCondensed"/>
          <w:bCs/>
          <w:lang w:val="en-GB"/>
        </w:rPr>
      </w:pPr>
      <w:r w:rsidRPr="00951F3B">
        <w:rPr>
          <w:rFonts w:eastAsia="Interstate-BoldCondensed"/>
          <w:bCs/>
          <w:lang w:val="en-GB"/>
        </w:rPr>
        <w:t xml:space="preserve">Overall, the assessed results with </w:t>
      </w:r>
      <w:r w:rsidRPr="00951F3B">
        <w:rPr>
          <w:rFonts w:eastAsia="Interstate-BoldCondensed"/>
          <w:bCs/>
          <w:i/>
          <w:lang w:val="en-GB"/>
        </w:rPr>
        <w:t>P. antipodarum</w:t>
      </w:r>
      <w:r w:rsidRPr="00951F3B">
        <w:rPr>
          <w:rFonts w:eastAsia="Interstate-BoldCondensed"/>
          <w:bCs/>
          <w:lang w:val="en-GB"/>
        </w:rPr>
        <w:t xml:space="preserve"> exposed to TBT </w:t>
      </w:r>
      <w:r w:rsidR="00CD5ABF">
        <w:rPr>
          <w:rFonts w:eastAsia="Interstate-BoldCondensed"/>
          <w:bCs/>
          <w:lang w:val="en-GB"/>
        </w:rPr>
        <w:t xml:space="preserve">(lowest NOEC: 16.1 ng TBT-Sn/L) would have led to a PNEC of 1.6 ng TBT-Sn </w:t>
      </w:r>
      <w:r w:rsidR="005A4945">
        <w:rPr>
          <w:rFonts w:eastAsia="Interstate-BoldCondensed"/>
          <w:bCs/>
          <w:lang w:val="en-GB"/>
        </w:rPr>
        <w:t>to be used in the chronic</w:t>
      </w:r>
      <w:r w:rsidR="00CD5ABF" w:rsidRPr="00951F3B">
        <w:rPr>
          <w:rFonts w:eastAsia="Interstate-BoldCondensed"/>
          <w:bCs/>
          <w:lang w:val="en-GB"/>
        </w:rPr>
        <w:t xml:space="preserve"> risk assessment of </w:t>
      </w:r>
      <w:r w:rsidR="005A4945">
        <w:rPr>
          <w:rFonts w:eastAsia="Interstate-BoldCondensed"/>
          <w:bCs/>
          <w:lang w:val="en-GB"/>
        </w:rPr>
        <w:t>TBT</w:t>
      </w:r>
      <w:r w:rsidR="004F14FC">
        <w:rPr>
          <w:rFonts w:eastAsia="Interstate-BoldCondensed"/>
          <w:bCs/>
          <w:lang w:val="en-GB"/>
        </w:rPr>
        <w:t>. Although the resulting PNEC would still not be protective for marine molluscs</w:t>
      </w:r>
      <w:r w:rsidR="004D5BA4">
        <w:rPr>
          <w:rFonts w:eastAsia="Interstate-BoldCondensed"/>
          <w:bCs/>
          <w:lang w:val="en-GB"/>
        </w:rPr>
        <w:t>,</w:t>
      </w:r>
      <w:r w:rsidR="005A4945">
        <w:rPr>
          <w:rFonts w:eastAsia="Interstate-BoldCondensed"/>
          <w:bCs/>
          <w:lang w:val="en-GB"/>
        </w:rPr>
        <w:t xml:space="preserve"> </w:t>
      </w:r>
      <w:r w:rsidR="004F14FC">
        <w:rPr>
          <w:rFonts w:eastAsia="Interstate-BoldCondensed"/>
          <w:bCs/>
          <w:lang w:val="en-GB"/>
        </w:rPr>
        <w:t xml:space="preserve">it underlines </w:t>
      </w:r>
      <w:r w:rsidR="006D16B4">
        <w:rPr>
          <w:rFonts w:eastAsia="Interstate-BoldCondensed"/>
          <w:bCs/>
          <w:lang w:val="en-GB"/>
        </w:rPr>
        <w:t xml:space="preserve">the specific </w:t>
      </w:r>
      <w:r w:rsidR="005A4945">
        <w:rPr>
          <w:rFonts w:eastAsia="Interstate-BoldCondensed"/>
          <w:bCs/>
          <w:lang w:val="en-GB"/>
        </w:rPr>
        <w:t xml:space="preserve">sensitivity </w:t>
      </w:r>
      <w:r w:rsidR="004F14FC">
        <w:rPr>
          <w:rFonts w:eastAsia="Interstate-BoldCondensed"/>
          <w:bCs/>
          <w:lang w:val="en-GB"/>
        </w:rPr>
        <w:t xml:space="preserve">of this phylum of invertebrates </w:t>
      </w:r>
      <w:r w:rsidR="005A4945">
        <w:rPr>
          <w:rFonts w:eastAsia="Interstate-BoldCondensed"/>
          <w:bCs/>
          <w:lang w:val="en-GB"/>
        </w:rPr>
        <w:t>to this chemical</w:t>
      </w:r>
      <w:r w:rsidR="00A13710" w:rsidRPr="00951F3B">
        <w:rPr>
          <w:rFonts w:eastAsia="Interstate-BoldCondensed"/>
          <w:bCs/>
          <w:lang w:val="en-GB"/>
        </w:rPr>
        <w:t>.</w:t>
      </w:r>
      <w:r w:rsidRPr="00951F3B">
        <w:rPr>
          <w:rFonts w:eastAsia="Interstate-BoldCondensed"/>
          <w:bCs/>
          <w:lang w:val="en-GB"/>
        </w:rPr>
        <w:t xml:space="preserve"> </w:t>
      </w:r>
      <w:r w:rsidR="00A13710" w:rsidRPr="00951F3B">
        <w:rPr>
          <w:rFonts w:eastAsia="Interstate-BoldCondensed"/>
          <w:bCs/>
          <w:lang w:val="en-GB"/>
        </w:rPr>
        <w:t xml:space="preserve">This </w:t>
      </w:r>
      <w:r w:rsidRPr="00951F3B">
        <w:rPr>
          <w:rFonts w:eastAsia="Interstate-BoldCondensed"/>
          <w:bCs/>
          <w:lang w:val="en-GB"/>
        </w:rPr>
        <w:t>demonstrate</w:t>
      </w:r>
      <w:r w:rsidR="00A13710" w:rsidRPr="00951F3B">
        <w:rPr>
          <w:rFonts w:eastAsia="Interstate-BoldCondensed"/>
          <w:bCs/>
          <w:lang w:val="en-GB"/>
        </w:rPr>
        <w:t>s</w:t>
      </w:r>
      <w:r w:rsidRPr="00951F3B">
        <w:rPr>
          <w:rFonts w:eastAsia="Interstate-BoldCondensed"/>
          <w:bCs/>
          <w:lang w:val="en-GB"/>
        </w:rPr>
        <w:t xml:space="preserve"> the advantages of </w:t>
      </w:r>
      <w:r w:rsidR="006466B4" w:rsidRPr="002A7BAC">
        <w:rPr>
          <w:rFonts w:eastAsia="Interstate-BoldCondensed"/>
          <w:bCs/>
          <w:i/>
          <w:lang w:val="en-GB"/>
        </w:rPr>
        <w:t>P. antipodarum</w:t>
      </w:r>
      <w:r w:rsidRPr="00951F3B">
        <w:rPr>
          <w:rFonts w:eastAsia="Interstate-BoldCondensed"/>
          <w:bCs/>
          <w:lang w:val="en-GB"/>
        </w:rPr>
        <w:t xml:space="preserve"> as a potential test species for </w:t>
      </w:r>
      <w:r w:rsidR="005A4945">
        <w:rPr>
          <w:rFonts w:eastAsia="Interstate-BoldCondensed"/>
          <w:bCs/>
          <w:lang w:val="en-GB"/>
        </w:rPr>
        <w:t xml:space="preserve">freshwater invertebrate </w:t>
      </w:r>
      <w:r w:rsidRPr="00951F3B">
        <w:rPr>
          <w:rFonts w:eastAsia="Interstate-BoldCondensed"/>
          <w:bCs/>
          <w:lang w:val="en-GB"/>
        </w:rPr>
        <w:t>risk assessment</w:t>
      </w:r>
      <w:r w:rsidR="00414D0C">
        <w:rPr>
          <w:rFonts w:eastAsia="Interstate-BoldCondensed"/>
          <w:bCs/>
          <w:lang w:val="en-GB"/>
        </w:rPr>
        <w:t>.</w:t>
      </w:r>
    </w:p>
    <w:p w:rsidR="009951C6" w:rsidRPr="00951F3B" w:rsidRDefault="009951C6" w:rsidP="00280083">
      <w:pPr>
        <w:spacing w:line="480" w:lineRule="auto"/>
        <w:jc w:val="both"/>
        <w:rPr>
          <w:lang w:val="en-GB"/>
        </w:rPr>
      </w:pPr>
    </w:p>
    <w:p w:rsidR="009951C6" w:rsidRPr="00951F3B" w:rsidRDefault="009951C6" w:rsidP="00280083">
      <w:pPr>
        <w:numPr>
          <w:ilvl w:val="1"/>
          <w:numId w:val="44"/>
        </w:numPr>
        <w:spacing w:line="480" w:lineRule="auto"/>
        <w:jc w:val="both"/>
        <w:rPr>
          <w:i/>
          <w:lang w:val="en-GB"/>
        </w:rPr>
      </w:pPr>
      <w:r w:rsidRPr="00951F3B">
        <w:rPr>
          <w:i/>
          <w:lang w:val="en-GB"/>
        </w:rPr>
        <w:t xml:space="preserve"> Resource and expertise requirements</w:t>
      </w:r>
    </w:p>
    <w:p w:rsidR="009951C6" w:rsidRPr="00951F3B" w:rsidRDefault="009951C6" w:rsidP="00280083">
      <w:pPr>
        <w:spacing w:line="480" w:lineRule="auto"/>
        <w:jc w:val="both"/>
        <w:rPr>
          <w:lang w:val="en-GB"/>
        </w:rPr>
      </w:pPr>
      <w:r w:rsidRPr="00951F3B">
        <w:rPr>
          <w:lang w:val="en-GB"/>
        </w:rPr>
        <w:t xml:space="preserve">The similar results between the laboratories in this ring test study demonstrate the ability of all participating persons to perform the reproduction tests with </w:t>
      </w:r>
      <w:r w:rsidRPr="00951F3B">
        <w:rPr>
          <w:i/>
          <w:lang w:val="en-GB"/>
        </w:rPr>
        <w:t>P. antipodarum</w:t>
      </w:r>
      <w:r w:rsidRPr="00951F3B">
        <w:rPr>
          <w:lang w:val="en-GB"/>
        </w:rPr>
        <w:t xml:space="preserve"> regardless of their previous expertise with this species. The draft test guideline </w:t>
      </w:r>
      <w:r w:rsidR="0083231D">
        <w:rPr>
          <w:lang w:val="en-GB"/>
        </w:rPr>
        <w:t>circulated to the participating laboratories, offered</w:t>
      </w:r>
      <w:r w:rsidR="00441CE0">
        <w:rPr>
          <w:lang w:val="en-GB"/>
        </w:rPr>
        <w:t xml:space="preserve"> </w:t>
      </w:r>
      <w:r w:rsidR="0083231D">
        <w:rPr>
          <w:lang w:val="en-GB"/>
        </w:rPr>
        <w:t xml:space="preserve">precise </w:t>
      </w:r>
      <w:r w:rsidRPr="00951F3B">
        <w:rPr>
          <w:lang w:val="en-GB"/>
        </w:rPr>
        <w:t xml:space="preserve">guidance for </w:t>
      </w:r>
      <w:r w:rsidR="0083231D">
        <w:rPr>
          <w:lang w:val="en-GB"/>
        </w:rPr>
        <w:t xml:space="preserve">performing the </w:t>
      </w:r>
      <w:r w:rsidRPr="00951F3B">
        <w:rPr>
          <w:lang w:val="en-GB"/>
        </w:rPr>
        <w:t xml:space="preserve">test </w:t>
      </w:r>
      <w:r w:rsidR="0083231D">
        <w:rPr>
          <w:lang w:val="en-GB"/>
        </w:rPr>
        <w:t>including</w:t>
      </w:r>
      <w:r w:rsidRPr="00951F3B">
        <w:rPr>
          <w:lang w:val="en-GB"/>
        </w:rPr>
        <w:t xml:space="preserve"> the evaluation</w:t>
      </w:r>
      <w:r w:rsidR="0083231D">
        <w:rPr>
          <w:lang w:val="en-GB"/>
        </w:rPr>
        <w:t xml:space="preserve"> of </w:t>
      </w:r>
      <w:r w:rsidRPr="00951F3B">
        <w:rPr>
          <w:lang w:val="en-GB"/>
        </w:rPr>
        <w:t>the reproductive performance of the snails</w:t>
      </w:r>
      <w:r w:rsidR="0083231D">
        <w:rPr>
          <w:lang w:val="en-GB"/>
        </w:rPr>
        <w:t>, with detailed instructions on</w:t>
      </w:r>
      <w:r w:rsidRPr="00951F3B">
        <w:rPr>
          <w:lang w:val="en-GB"/>
        </w:rPr>
        <w:t xml:space="preserve"> shell removal, brood pouch opening and counting of embryos. For culturing and testing the snails</w:t>
      </w:r>
      <w:r w:rsidR="003B14C0">
        <w:rPr>
          <w:lang w:val="en-GB"/>
        </w:rPr>
        <w:t>,</w:t>
      </w:r>
      <w:r w:rsidRPr="00951F3B">
        <w:rPr>
          <w:lang w:val="en-GB"/>
        </w:rPr>
        <w:t xml:space="preserve"> no </w:t>
      </w:r>
      <w:r w:rsidR="0083231D">
        <w:rPr>
          <w:lang w:val="en-GB"/>
        </w:rPr>
        <w:t>unusual or hard to obtain</w:t>
      </w:r>
      <w:r w:rsidR="0083231D" w:rsidRPr="00951F3B">
        <w:rPr>
          <w:lang w:val="en-GB"/>
        </w:rPr>
        <w:t xml:space="preserve"> </w:t>
      </w:r>
      <w:r w:rsidRPr="00951F3B">
        <w:rPr>
          <w:lang w:val="en-GB"/>
        </w:rPr>
        <w:t xml:space="preserve">equipment is needed and </w:t>
      </w:r>
      <w:r w:rsidR="003B14C0">
        <w:rPr>
          <w:lang w:val="en-GB"/>
        </w:rPr>
        <w:t>minimal</w:t>
      </w:r>
      <w:r w:rsidRPr="00951F3B">
        <w:rPr>
          <w:lang w:val="en-GB"/>
        </w:rPr>
        <w:t xml:space="preserve"> space is required</w:t>
      </w:r>
      <w:r w:rsidR="003B14C0">
        <w:rPr>
          <w:lang w:val="en-GB"/>
        </w:rPr>
        <w:t>.</w:t>
      </w:r>
      <w:r w:rsidRPr="00951F3B">
        <w:rPr>
          <w:lang w:val="en-GB"/>
        </w:rPr>
        <w:t xml:space="preserve"> </w:t>
      </w:r>
      <w:r w:rsidR="00441CE0">
        <w:rPr>
          <w:lang w:val="en-GB"/>
        </w:rPr>
        <w:t>A</w:t>
      </w:r>
      <w:r w:rsidRPr="00951F3B">
        <w:rPr>
          <w:lang w:val="en-GB"/>
        </w:rPr>
        <w:t xml:space="preserve"> 15 L </w:t>
      </w:r>
      <w:r w:rsidR="00441CE0" w:rsidRPr="00951F3B">
        <w:rPr>
          <w:lang w:val="en-GB"/>
        </w:rPr>
        <w:t>aquar</w:t>
      </w:r>
      <w:r w:rsidR="00441CE0">
        <w:rPr>
          <w:lang w:val="en-GB"/>
        </w:rPr>
        <w:t>ium</w:t>
      </w:r>
      <w:r w:rsidR="00441CE0" w:rsidRPr="00951F3B">
        <w:rPr>
          <w:lang w:val="en-GB"/>
        </w:rPr>
        <w:t xml:space="preserve"> </w:t>
      </w:r>
      <w:r w:rsidR="0083231D">
        <w:rPr>
          <w:lang w:val="en-GB"/>
        </w:rPr>
        <w:t>can be used</w:t>
      </w:r>
      <w:r w:rsidR="00016BEF">
        <w:rPr>
          <w:lang w:val="en-GB"/>
        </w:rPr>
        <w:t xml:space="preserve"> to culture </w:t>
      </w:r>
      <w:r w:rsidRPr="00951F3B">
        <w:rPr>
          <w:lang w:val="en-GB"/>
        </w:rPr>
        <w:t xml:space="preserve">up to 1500 snails </w:t>
      </w:r>
      <w:r w:rsidRPr="00951F3B">
        <w:rPr>
          <w:noProof/>
          <w:lang w:val="en-GB"/>
        </w:rPr>
        <w:t>(Sieratowicz et al., 2013)</w:t>
      </w:r>
      <w:r w:rsidR="00016BEF">
        <w:rPr>
          <w:noProof/>
          <w:lang w:val="en-GB"/>
        </w:rPr>
        <w:t>.</w:t>
      </w:r>
      <w:r w:rsidRPr="00951F3B">
        <w:rPr>
          <w:lang w:val="en-GB"/>
        </w:rPr>
        <w:t xml:space="preserve"> </w:t>
      </w:r>
      <w:r w:rsidR="00016BEF">
        <w:rPr>
          <w:lang w:val="en-GB"/>
        </w:rPr>
        <w:t>F</w:t>
      </w:r>
      <w:r w:rsidRPr="00951F3B">
        <w:rPr>
          <w:lang w:val="en-GB"/>
        </w:rPr>
        <w:t xml:space="preserve">or a reproduction test with five test concentrations of a chemical, including </w:t>
      </w:r>
      <w:r w:rsidR="00441CE0">
        <w:rPr>
          <w:lang w:val="en-GB"/>
        </w:rPr>
        <w:t xml:space="preserve">water </w:t>
      </w:r>
      <w:r w:rsidR="003B14C0">
        <w:rPr>
          <w:lang w:val="en-GB"/>
        </w:rPr>
        <w:t>control</w:t>
      </w:r>
      <w:r w:rsidRPr="00951F3B">
        <w:rPr>
          <w:lang w:val="en-GB"/>
        </w:rPr>
        <w:t xml:space="preserve"> and solvent control, 28 beakers are used, which only requires an area of around 1 m</w:t>
      </w:r>
      <w:r w:rsidRPr="00951F3B">
        <w:rPr>
          <w:vertAlign w:val="superscript"/>
          <w:lang w:val="en-GB"/>
        </w:rPr>
        <w:t>2</w:t>
      </w:r>
      <w:r w:rsidRPr="00951F3B">
        <w:rPr>
          <w:lang w:val="en-GB"/>
        </w:rPr>
        <w:t xml:space="preserve">. The performance of the static test is comparatively simple and inexpensive to perform. </w:t>
      </w:r>
      <w:r w:rsidR="00414D0C">
        <w:rPr>
          <w:lang w:val="en-GB"/>
        </w:rPr>
        <w:t xml:space="preserve">A total of </w:t>
      </w:r>
      <w:r w:rsidRPr="00951F3B">
        <w:rPr>
          <w:lang w:val="en-GB"/>
        </w:rPr>
        <w:t xml:space="preserve">280 animals are needed by using the test design proposed in this study. The water consumption amounts to only 170 L, if three water renewals </w:t>
      </w:r>
      <w:r w:rsidR="00441CE0">
        <w:rPr>
          <w:lang w:val="en-GB"/>
        </w:rPr>
        <w:t xml:space="preserve">per week </w:t>
      </w:r>
      <w:r w:rsidRPr="00951F3B">
        <w:rPr>
          <w:lang w:val="en-GB"/>
        </w:rPr>
        <w:t xml:space="preserve">are performed in 500 mL beakers. Test preparation and implementation require 4-6 hours of manpower and for three water renewals per week during the test performance (including the measurement of </w:t>
      </w:r>
      <w:r w:rsidRPr="00951F3B">
        <w:rPr>
          <w:lang w:val="en-GB"/>
        </w:rPr>
        <w:lastRenderedPageBreak/>
        <w:t>physico-chemical parameters)</w:t>
      </w:r>
      <w:r w:rsidR="003B14C0">
        <w:rPr>
          <w:lang w:val="en-GB"/>
        </w:rPr>
        <w:t>,</w:t>
      </w:r>
      <w:r w:rsidRPr="00951F3B">
        <w:rPr>
          <w:lang w:val="en-GB"/>
        </w:rPr>
        <w:t xml:space="preserve"> the </w:t>
      </w:r>
      <w:r w:rsidR="003B14C0">
        <w:rPr>
          <w:lang w:val="en-GB"/>
        </w:rPr>
        <w:t>work input</w:t>
      </w:r>
      <w:r w:rsidRPr="00951F3B">
        <w:rPr>
          <w:lang w:val="en-GB"/>
        </w:rPr>
        <w:t xml:space="preserve"> amounts to 8-10 hours per week. For the final evaluation of the reproductive performance using a binocular </w:t>
      </w:r>
      <w:r w:rsidR="00016BEF">
        <w:rPr>
          <w:lang w:val="en-GB"/>
        </w:rPr>
        <w:t xml:space="preserve">microscope </w:t>
      </w:r>
      <w:r w:rsidRPr="00951F3B">
        <w:rPr>
          <w:lang w:val="en-GB"/>
        </w:rPr>
        <w:t xml:space="preserve">the required manpower is, depending on the number of embryos, 7-9 hours. </w:t>
      </w:r>
    </w:p>
    <w:p w:rsidR="009951C6" w:rsidRPr="00951F3B" w:rsidRDefault="009951C6" w:rsidP="00280083">
      <w:pPr>
        <w:spacing w:line="480" w:lineRule="auto"/>
        <w:jc w:val="both"/>
        <w:rPr>
          <w:lang w:val="en-GB"/>
        </w:rPr>
      </w:pPr>
    </w:p>
    <w:p w:rsidR="009951C6" w:rsidRPr="00951F3B" w:rsidRDefault="009951C6" w:rsidP="00280083">
      <w:pPr>
        <w:numPr>
          <w:ilvl w:val="1"/>
          <w:numId w:val="44"/>
        </w:numPr>
        <w:spacing w:line="480" w:lineRule="auto"/>
        <w:jc w:val="both"/>
        <w:rPr>
          <w:i/>
          <w:lang w:val="en-GB"/>
        </w:rPr>
      </w:pPr>
      <w:r w:rsidRPr="00951F3B">
        <w:rPr>
          <w:i/>
          <w:lang w:val="en-GB"/>
        </w:rPr>
        <w:t>Outlook</w:t>
      </w:r>
    </w:p>
    <w:p w:rsidR="009951C6" w:rsidRPr="00951F3B" w:rsidRDefault="009951C6" w:rsidP="00280083">
      <w:pPr>
        <w:spacing w:line="480" w:lineRule="auto"/>
        <w:jc w:val="both"/>
        <w:rPr>
          <w:lang w:val="en-GB"/>
        </w:rPr>
      </w:pPr>
      <w:r w:rsidRPr="003B14C0">
        <w:rPr>
          <w:lang w:val="en-GB"/>
        </w:rPr>
        <w:t>After the successful completion of these first validation studies</w:t>
      </w:r>
      <w:r w:rsidR="00414D0C" w:rsidRPr="003B14C0">
        <w:rPr>
          <w:lang w:val="en-GB"/>
        </w:rPr>
        <w:t>,</w:t>
      </w:r>
      <w:r w:rsidRPr="003B14C0">
        <w:rPr>
          <w:lang w:val="en-GB"/>
        </w:rPr>
        <w:t xml:space="preserve"> two further ring tests with the substances prochloraz, trenbolone, triclosan and triclocarban were performed</w:t>
      </w:r>
      <w:r w:rsidR="006466B4" w:rsidRPr="002A7BAC">
        <w:rPr>
          <w:rStyle w:val="CommentReference"/>
          <w:lang w:val="en-GB"/>
        </w:rPr>
        <w:t>.</w:t>
      </w:r>
      <w:r w:rsidRPr="003B14C0">
        <w:rPr>
          <w:lang w:val="en-GB"/>
        </w:rPr>
        <w:t xml:space="preserve"> Here, the test design was slightly amended (six replicates with six snails per replicate) to improve the statistical power of the reproduction test. The used test design with 4 replicates and 10 snails per replicate was originally designed for an evaluation with the weighted mean </w:t>
      </w:r>
      <w:r w:rsidR="00DC4133" w:rsidRPr="003B14C0">
        <w:rPr>
          <w:lang w:val="en-GB"/>
        </w:rPr>
        <w:t xml:space="preserve">embryo number </w:t>
      </w:r>
      <w:r w:rsidRPr="003B14C0">
        <w:rPr>
          <w:lang w:val="en-GB"/>
        </w:rPr>
        <w:t>per treatment group. This evaluation is based on common error propagation rules and considers the tank as the experimental unit, but takes into account the within-tank (</w:t>
      </w:r>
      <w:r w:rsidR="006466B4" w:rsidRPr="002A7BAC">
        <w:rPr>
          <w:i/>
          <w:lang w:val="en-GB"/>
        </w:rPr>
        <w:t>i.e.</w:t>
      </w:r>
      <w:r w:rsidRPr="003B14C0">
        <w:rPr>
          <w:lang w:val="en-GB"/>
        </w:rPr>
        <w:t xml:space="preserve"> individual animal) variability </w:t>
      </w:r>
      <w:r w:rsidRPr="003B14C0">
        <w:rPr>
          <w:noProof/>
          <w:lang w:val="en-GB"/>
        </w:rPr>
        <w:t>(OECD, 2010a)</w:t>
      </w:r>
      <w:r w:rsidRPr="003B14C0">
        <w:rPr>
          <w:lang w:val="en-GB"/>
        </w:rPr>
        <w:t>. To adapt the draft technical guideline</w:t>
      </w:r>
      <w:r w:rsidRPr="00951F3B">
        <w:rPr>
          <w:lang w:val="en-GB"/>
        </w:rPr>
        <w:t xml:space="preserve"> to the standards of OECD guidelines</w:t>
      </w:r>
      <w:r w:rsidR="00414D0C">
        <w:rPr>
          <w:lang w:val="en-GB"/>
        </w:rPr>
        <w:t>,</w:t>
      </w:r>
      <w:r w:rsidRPr="00951F3B">
        <w:rPr>
          <w:lang w:val="en-GB"/>
        </w:rPr>
        <w:t xml:space="preserve"> the evaluation method was changed and a further validity criterion was added: the mean embryo number per snail in the controls should be ≥ 5. </w:t>
      </w:r>
      <w:r w:rsidR="003B14C0">
        <w:rPr>
          <w:lang w:val="en-GB"/>
        </w:rPr>
        <w:t>T</w:t>
      </w:r>
      <w:r w:rsidRPr="00951F3B">
        <w:rPr>
          <w:lang w:val="en-GB"/>
        </w:rPr>
        <w:t>his criterion was also fulfilled in all reproduction tests presented in this study.</w:t>
      </w:r>
    </w:p>
    <w:p w:rsidR="009951C6" w:rsidRPr="00951F3B" w:rsidRDefault="009951C6" w:rsidP="00280083">
      <w:pPr>
        <w:spacing w:line="480" w:lineRule="auto"/>
        <w:jc w:val="both"/>
        <w:rPr>
          <w:lang w:val="en-GB"/>
        </w:rPr>
      </w:pPr>
      <w:r w:rsidRPr="00951F3B">
        <w:rPr>
          <w:lang w:val="en-GB"/>
        </w:rPr>
        <w:t xml:space="preserve">The draft test guideline of the reproduction test with </w:t>
      </w:r>
      <w:r w:rsidRPr="00951F3B">
        <w:rPr>
          <w:i/>
          <w:lang w:val="en-GB"/>
        </w:rPr>
        <w:t>P. antipodarum</w:t>
      </w:r>
      <w:r w:rsidRPr="00951F3B">
        <w:rPr>
          <w:lang w:val="en-GB"/>
        </w:rPr>
        <w:t xml:space="preserve"> has been acknowledged by the experts of the “validation management group on ecotoxicity testing” (</w:t>
      </w:r>
      <w:r w:rsidR="00414D0C" w:rsidRPr="00951F3B">
        <w:rPr>
          <w:lang w:val="en-GB"/>
        </w:rPr>
        <w:t>VMG</w:t>
      </w:r>
      <w:r w:rsidR="00414D0C">
        <w:rPr>
          <w:lang w:val="en-GB"/>
        </w:rPr>
        <w:t>-E</w:t>
      </w:r>
      <w:r w:rsidR="00414D0C" w:rsidRPr="00951F3B">
        <w:rPr>
          <w:lang w:val="en-GB"/>
        </w:rPr>
        <w:t>co</w:t>
      </w:r>
      <w:r w:rsidRPr="00951F3B">
        <w:rPr>
          <w:lang w:val="en-GB"/>
        </w:rPr>
        <w:t xml:space="preserve">) of the OECD and the OECD </w:t>
      </w:r>
      <w:r w:rsidR="006466B4" w:rsidRPr="002A7BAC">
        <w:rPr>
          <w:i/>
          <w:lang w:val="en-GB"/>
        </w:rPr>
        <w:t>ad hoc</w:t>
      </w:r>
      <w:r w:rsidRPr="00951F3B">
        <w:rPr>
          <w:lang w:val="en-GB"/>
        </w:rPr>
        <w:t xml:space="preserve"> Expert Group on Invertebrate testing who supported the submission of the draft test guideline. After a successful second international commenting round by OECD member states the guideline </w:t>
      </w:r>
      <w:r w:rsidR="00016BEF">
        <w:rPr>
          <w:lang w:val="en-GB"/>
        </w:rPr>
        <w:t>was approved by</w:t>
      </w:r>
      <w:r w:rsidRPr="00951F3B">
        <w:rPr>
          <w:lang w:val="en-GB"/>
        </w:rPr>
        <w:t xml:space="preserve"> the </w:t>
      </w:r>
      <w:r w:rsidR="00016BEF">
        <w:rPr>
          <w:lang w:val="en-GB"/>
        </w:rPr>
        <w:t>Working Group of the National Coordinators for the Test guidelines Programme (</w:t>
      </w:r>
      <w:r w:rsidRPr="00951F3B">
        <w:rPr>
          <w:lang w:val="en-GB"/>
        </w:rPr>
        <w:t>WNT</w:t>
      </w:r>
      <w:r w:rsidR="00016BEF">
        <w:rPr>
          <w:lang w:val="en-GB"/>
        </w:rPr>
        <w:t>)</w:t>
      </w:r>
      <w:r w:rsidRPr="00951F3B">
        <w:rPr>
          <w:lang w:val="en-GB"/>
        </w:rPr>
        <w:t xml:space="preserve"> in April 2016.</w:t>
      </w:r>
    </w:p>
    <w:p w:rsidR="009951C6" w:rsidRPr="00951F3B" w:rsidRDefault="009951C6" w:rsidP="00280083">
      <w:pPr>
        <w:spacing w:line="480" w:lineRule="auto"/>
        <w:jc w:val="both"/>
        <w:rPr>
          <w:lang w:val="en-GB"/>
        </w:rPr>
      </w:pPr>
    </w:p>
    <w:p w:rsidR="009951C6" w:rsidRPr="00951F3B" w:rsidRDefault="009951C6" w:rsidP="00280083">
      <w:pPr>
        <w:pStyle w:val="Heading6"/>
        <w:numPr>
          <w:ilvl w:val="0"/>
          <w:numId w:val="44"/>
        </w:numPr>
        <w:rPr>
          <w:lang w:val="en-GB"/>
        </w:rPr>
      </w:pPr>
      <w:r w:rsidRPr="00951F3B">
        <w:rPr>
          <w:lang w:val="en-GB"/>
        </w:rPr>
        <w:t>CONCLUSIONS</w:t>
      </w:r>
    </w:p>
    <w:p w:rsidR="009951C6" w:rsidRPr="00951F3B" w:rsidRDefault="009951C6" w:rsidP="00280083">
      <w:pPr>
        <w:spacing w:line="480" w:lineRule="auto"/>
        <w:jc w:val="both"/>
        <w:rPr>
          <w:lang w:val="en-GB"/>
        </w:rPr>
      </w:pPr>
      <w:r w:rsidRPr="00951F3B">
        <w:rPr>
          <w:lang w:val="en-GB"/>
        </w:rPr>
        <w:t xml:space="preserve">The presented test design with </w:t>
      </w:r>
      <w:r w:rsidRPr="00951F3B">
        <w:rPr>
          <w:i/>
          <w:lang w:val="en-GB"/>
        </w:rPr>
        <w:t>P. antipodarum</w:t>
      </w:r>
      <w:r w:rsidRPr="00951F3B">
        <w:rPr>
          <w:lang w:val="en-GB"/>
        </w:rPr>
        <w:t xml:space="preserve"> </w:t>
      </w:r>
      <w:r w:rsidR="0021631E">
        <w:rPr>
          <w:lang w:val="en-GB"/>
        </w:rPr>
        <w:t>was</w:t>
      </w:r>
      <w:r w:rsidRPr="00951F3B">
        <w:rPr>
          <w:lang w:val="en-GB"/>
        </w:rPr>
        <w:t xml:space="preserve"> implemented by all participating laboratories resulting in comparable </w:t>
      </w:r>
      <w:r w:rsidR="00441CE0">
        <w:rPr>
          <w:lang w:val="en-GB"/>
        </w:rPr>
        <w:t>concentration</w:t>
      </w:r>
      <w:r w:rsidR="00301F09">
        <w:rPr>
          <w:lang w:val="en-GB"/>
        </w:rPr>
        <w:t xml:space="preserve">-response characteristics and </w:t>
      </w:r>
      <w:r w:rsidRPr="00951F3B">
        <w:rPr>
          <w:lang w:val="en-GB"/>
        </w:rPr>
        <w:t xml:space="preserve">effect </w:t>
      </w:r>
      <w:r w:rsidRPr="00951F3B">
        <w:rPr>
          <w:lang w:val="en-GB"/>
        </w:rPr>
        <w:lastRenderedPageBreak/>
        <w:t>concentrations. The robustness and the intra- as well as inter</w:t>
      </w:r>
      <w:r w:rsidR="00EB254C">
        <w:rPr>
          <w:lang w:val="en-GB"/>
        </w:rPr>
        <w:t>-</w:t>
      </w:r>
      <w:r w:rsidRPr="00951F3B">
        <w:rPr>
          <w:lang w:val="en-GB"/>
        </w:rPr>
        <w:t>laboratory reproducibility of the reproduction test has been proven</w:t>
      </w:r>
      <w:r w:rsidR="003B14C0">
        <w:rPr>
          <w:lang w:val="en-GB"/>
        </w:rPr>
        <w:t>,</w:t>
      </w:r>
      <w:r w:rsidRPr="00951F3B">
        <w:rPr>
          <w:lang w:val="en-GB"/>
        </w:rPr>
        <w:t xml:space="preserve"> </w:t>
      </w:r>
      <w:r w:rsidR="003B14C0">
        <w:rPr>
          <w:lang w:val="en-GB"/>
        </w:rPr>
        <w:t>with</w:t>
      </w:r>
      <w:r w:rsidR="003B14C0" w:rsidRPr="00951F3B">
        <w:rPr>
          <w:lang w:val="en-GB"/>
        </w:rPr>
        <w:t xml:space="preserve"> </w:t>
      </w:r>
      <w:r w:rsidRPr="00951F3B">
        <w:rPr>
          <w:lang w:val="en-GB"/>
        </w:rPr>
        <w:t xml:space="preserve">most of the laboratories </w:t>
      </w:r>
      <w:r w:rsidR="00414D0C">
        <w:rPr>
          <w:lang w:val="en-GB"/>
        </w:rPr>
        <w:t>f</w:t>
      </w:r>
      <w:r w:rsidR="003B14C0">
        <w:rPr>
          <w:lang w:val="en-GB"/>
        </w:rPr>
        <w:t>inding</w:t>
      </w:r>
      <w:r w:rsidR="0021631E" w:rsidRPr="00951F3B">
        <w:rPr>
          <w:lang w:val="en-GB"/>
        </w:rPr>
        <w:t xml:space="preserve"> </w:t>
      </w:r>
      <w:r w:rsidRPr="00951F3B">
        <w:rPr>
          <w:lang w:val="en-GB"/>
        </w:rPr>
        <w:t>comparable NOEC, LOEC, EC</w:t>
      </w:r>
      <w:r w:rsidRPr="00951F3B">
        <w:rPr>
          <w:vertAlign w:val="subscript"/>
          <w:lang w:val="en-GB"/>
        </w:rPr>
        <w:t>10</w:t>
      </w:r>
      <w:r w:rsidRPr="00951F3B">
        <w:rPr>
          <w:lang w:val="en-GB"/>
        </w:rPr>
        <w:t xml:space="preserve"> and EC</w:t>
      </w:r>
      <w:r w:rsidRPr="00951F3B">
        <w:rPr>
          <w:vertAlign w:val="subscript"/>
          <w:lang w:val="en-GB"/>
        </w:rPr>
        <w:t>50</w:t>
      </w:r>
      <w:r w:rsidRPr="00951F3B">
        <w:rPr>
          <w:lang w:val="en-GB"/>
        </w:rPr>
        <w:t xml:space="preserve"> values with overlapping 95%-confidence intervals for the latter. The outcome of this ring test is in an adequate range of acceptance when comparing with other validation studies for chronic tests</w:t>
      </w:r>
      <w:r w:rsidR="00016BEF">
        <w:rPr>
          <w:lang w:val="en-GB"/>
        </w:rPr>
        <w:t>. T</w:t>
      </w:r>
      <w:r w:rsidRPr="00951F3B">
        <w:rPr>
          <w:lang w:val="en-GB"/>
        </w:rPr>
        <w:t xml:space="preserve">he results obtained in the tests with the </w:t>
      </w:r>
      <w:r w:rsidR="00DC4133" w:rsidRPr="00951F3B">
        <w:rPr>
          <w:lang w:val="en-GB"/>
        </w:rPr>
        <w:t xml:space="preserve">difficult </w:t>
      </w:r>
      <w:r w:rsidRPr="00951F3B">
        <w:rPr>
          <w:lang w:val="en-GB"/>
        </w:rPr>
        <w:t xml:space="preserve">to handle chemical TBT demonstrate the sensitivity of </w:t>
      </w:r>
      <w:r w:rsidRPr="00951F3B">
        <w:rPr>
          <w:i/>
          <w:lang w:val="en-GB"/>
        </w:rPr>
        <w:t>P. antipodarum</w:t>
      </w:r>
      <w:r w:rsidRPr="00951F3B">
        <w:rPr>
          <w:lang w:val="en-GB"/>
        </w:rPr>
        <w:t xml:space="preserve"> in comparison to other standard test organisms and </w:t>
      </w:r>
      <w:r w:rsidR="00B67653">
        <w:rPr>
          <w:lang w:val="en-GB"/>
        </w:rPr>
        <w:t xml:space="preserve">shows </w:t>
      </w:r>
      <w:r w:rsidRPr="00951F3B">
        <w:rPr>
          <w:lang w:val="en-GB"/>
        </w:rPr>
        <w:t xml:space="preserve">that the presented reproduction test with </w:t>
      </w:r>
      <w:r w:rsidRPr="00951F3B">
        <w:rPr>
          <w:i/>
          <w:lang w:val="en-GB"/>
        </w:rPr>
        <w:t>P. antipodarum</w:t>
      </w:r>
      <w:r w:rsidRPr="00951F3B">
        <w:rPr>
          <w:lang w:val="en-GB"/>
        </w:rPr>
        <w:t xml:space="preserve"> is a well suited tool for assessing reproductive effects of </w:t>
      </w:r>
      <w:r w:rsidR="00414D0C">
        <w:rPr>
          <w:lang w:val="en-GB"/>
        </w:rPr>
        <w:t>chemicals</w:t>
      </w:r>
      <w:r w:rsidRPr="00951F3B">
        <w:rPr>
          <w:lang w:val="en-GB"/>
        </w:rPr>
        <w:t>.</w:t>
      </w:r>
    </w:p>
    <w:p w:rsidR="009951C6" w:rsidRPr="00951F3B" w:rsidRDefault="009951C6" w:rsidP="00280083">
      <w:pPr>
        <w:spacing w:line="480" w:lineRule="auto"/>
        <w:jc w:val="both"/>
        <w:rPr>
          <w:lang w:val="en-GB"/>
        </w:rPr>
      </w:pPr>
      <w:r w:rsidRPr="00951F3B">
        <w:rPr>
          <w:lang w:val="en-GB"/>
        </w:rPr>
        <w:t xml:space="preserve">Therefore, the obtained results will contribute to the further development of test methods and evaluation concepts for the regulation of reprotoxic chemicals in </w:t>
      </w:r>
      <w:r w:rsidR="00414D0C" w:rsidRPr="00951F3B">
        <w:rPr>
          <w:lang w:val="en-GB"/>
        </w:rPr>
        <w:t>REAC</w:t>
      </w:r>
      <w:r w:rsidR="00414D0C">
        <w:rPr>
          <w:lang w:val="en-GB"/>
        </w:rPr>
        <w:t>h</w:t>
      </w:r>
      <w:r w:rsidRPr="00951F3B">
        <w:rPr>
          <w:lang w:val="en-GB"/>
        </w:rPr>
        <w:t>, as well as pesticides, biocides and pharmaceuticals.</w:t>
      </w:r>
    </w:p>
    <w:p w:rsidR="009951C6" w:rsidRPr="00951F3B" w:rsidRDefault="009951C6" w:rsidP="00280083">
      <w:pPr>
        <w:spacing w:line="480" w:lineRule="auto"/>
        <w:jc w:val="both"/>
        <w:rPr>
          <w:lang w:val="en-GB"/>
        </w:rPr>
      </w:pPr>
    </w:p>
    <w:p w:rsidR="009951C6" w:rsidRPr="00951F3B" w:rsidRDefault="009951C6" w:rsidP="00280083">
      <w:pPr>
        <w:pStyle w:val="Heading4"/>
        <w:numPr>
          <w:ilvl w:val="0"/>
          <w:numId w:val="0"/>
        </w:numPr>
        <w:spacing w:line="480" w:lineRule="auto"/>
        <w:rPr>
          <w:b/>
          <w:bCs/>
        </w:rPr>
      </w:pPr>
      <w:r w:rsidRPr="00951F3B">
        <w:rPr>
          <w:b/>
          <w:bCs/>
        </w:rPr>
        <w:t>Acknowledgement</w:t>
      </w:r>
    </w:p>
    <w:p w:rsidR="009951C6" w:rsidRPr="00951F3B" w:rsidRDefault="009951C6" w:rsidP="005A4945">
      <w:pPr>
        <w:spacing w:line="480" w:lineRule="auto"/>
        <w:jc w:val="both"/>
        <w:rPr>
          <w:lang w:val="en-GB"/>
        </w:rPr>
      </w:pPr>
      <w:r w:rsidRPr="00951F3B">
        <w:rPr>
          <w:lang w:val="en-GB"/>
        </w:rPr>
        <w:t>The authors thank the German Environment Agency (UBA) (projects 370861402 and 371165417) for funding, the Danish EPA (DK) and INRA (FR) for the financial support and all participating laboratories for using own funds and the good cooperation so that the project could be successfully carried out. We are also grateful to Heike Heidenreich from the IHI Zittau</w:t>
      </w:r>
      <w:r w:rsidR="0053578C">
        <w:rPr>
          <w:lang w:val="en-GB"/>
        </w:rPr>
        <w:t>, Germany</w:t>
      </w:r>
      <w:r w:rsidRPr="00951F3B">
        <w:rPr>
          <w:lang w:val="en-GB"/>
        </w:rPr>
        <w:t xml:space="preserve"> and Olaf Wappelhorst from chemlab GmbH</w:t>
      </w:r>
      <w:r w:rsidR="0053578C">
        <w:rPr>
          <w:lang w:val="en-GB"/>
        </w:rPr>
        <w:t>, Germany</w:t>
      </w:r>
      <w:r w:rsidRPr="00951F3B">
        <w:rPr>
          <w:lang w:val="en-GB"/>
        </w:rPr>
        <w:t xml:space="preserve"> for performing chemical analyses.</w:t>
      </w:r>
    </w:p>
    <w:p w:rsidR="009951C6" w:rsidRPr="00951F3B" w:rsidRDefault="009951C6" w:rsidP="00280083">
      <w:pPr>
        <w:pStyle w:val="Heading6"/>
        <w:pageBreakBefore/>
        <w:numPr>
          <w:ilvl w:val="0"/>
          <w:numId w:val="0"/>
        </w:numPr>
        <w:tabs>
          <w:tab w:val="left" w:pos="0"/>
        </w:tabs>
        <w:rPr>
          <w:lang w:val="en-GB"/>
        </w:rPr>
      </w:pPr>
      <w:r w:rsidRPr="00951F3B">
        <w:rPr>
          <w:lang w:val="en-GB"/>
        </w:rPr>
        <w:lastRenderedPageBreak/>
        <w:t>REFERENCES</w:t>
      </w:r>
    </w:p>
    <w:p w:rsidR="009951C6" w:rsidRPr="00951F3B" w:rsidRDefault="009951C6" w:rsidP="00280083">
      <w:pPr>
        <w:jc w:val="both"/>
        <w:rPr>
          <w:lang w:val="en-GB"/>
        </w:rPr>
      </w:pPr>
    </w:p>
    <w:p w:rsidR="009951C6" w:rsidRPr="000962C6" w:rsidRDefault="009951C6" w:rsidP="00280083">
      <w:pPr>
        <w:pStyle w:val="EndNoteBibliography"/>
        <w:ind w:left="720" w:hanging="720"/>
        <w:rPr>
          <w:lang w:val="en-GB"/>
        </w:rPr>
      </w:pPr>
      <w:r w:rsidRPr="000962C6">
        <w:rPr>
          <w:lang w:val="en-GB"/>
        </w:rPr>
        <w:t xml:space="preserve">Alonso, A., Castro-Diez, P., 2012. The exotic aquatic mud snail </w:t>
      </w:r>
      <w:r w:rsidRPr="000962C6">
        <w:rPr>
          <w:i/>
          <w:lang w:val="en-GB"/>
        </w:rPr>
        <w:t>Potamopyrgus antipodarum</w:t>
      </w:r>
      <w:r w:rsidRPr="000962C6">
        <w:rPr>
          <w:lang w:val="en-GB"/>
        </w:rPr>
        <w:t xml:space="preserve"> (Hydrobiidae, Mollusca): state of the art of a worldwide invasion. Aquat. Sci. 74</w:t>
      </w:r>
      <w:r w:rsidRPr="000962C6">
        <w:rPr>
          <w:b/>
          <w:lang w:val="en-GB"/>
        </w:rPr>
        <w:t>,</w:t>
      </w:r>
      <w:r w:rsidRPr="000962C6">
        <w:rPr>
          <w:lang w:val="en-GB"/>
        </w:rPr>
        <w:t xml:space="preserve"> 375-383.</w:t>
      </w:r>
    </w:p>
    <w:p w:rsidR="00A0531B" w:rsidRPr="000962C6" w:rsidRDefault="009951C6" w:rsidP="00A0531B">
      <w:pPr>
        <w:pStyle w:val="EndNoteBibliography"/>
        <w:ind w:left="720" w:hanging="720"/>
        <w:rPr>
          <w:lang w:val="en-GB"/>
        </w:rPr>
      </w:pPr>
      <w:r w:rsidRPr="000962C6">
        <w:rPr>
          <w:lang w:val="en-GB"/>
        </w:rPr>
        <w:t xml:space="preserve">Borgmann, U., Ralph, K. M., Norwood, W. P., 1989. Toxicity test procedures for </w:t>
      </w:r>
      <w:r w:rsidRPr="000962C6">
        <w:rPr>
          <w:i/>
          <w:lang w:val="en-GB"/>
        </w:rPr>
        <w:t>Hyalella azteca</w:t>
      </w:r>
      <w:r w:rsidRPr="000962C6">
        <w:rPr>
          <w:lang w:val="en-GB"/>
        </w:rPr>
        <w:t xml:space="preserve">, and chronic toxicity of cadmium and pentachlorophenol to </w:t>
      </w:r>
      <w:r w:rsidRPr="000962C6">
        <w:rPr>
          <w:i/>
          <w:lang w:val="en-GB"/>
        </w:rPr>
        <w:t>Hyalella azteca</w:t>
      </w:r>
      <w:r w:rsidRPr="000962C6">
        <w:rPr>
          <w:lang w:val="en-GB"/>
        </w:rPr>
        <w:t xml:space="preserve">, </w:t>
      </w:r>
      <w:r w:rsidRPr="000962C6">
        <w:rPr>
          <w:i/>
          <w:lang w:val="en-GB"/>
        </w:rPr>
        <w:t>Gammarus fasciatus</w:t>
      </w:r>
      <w:r w:rsidRPr="000962C6">
        <w:rPr>
          <w:lang w:val="en-GB"/>
        </w:rPr>
        <w:t xml:space="preserve">, and </w:t>
      </w:r>
      <w:r w:rsidRPr="000962C6">
        <w:rPr>
          <w:i/>
          <w:lang w:val="en-GB"/>
        </w:rPr>
        <w:t>Daphnia magna</w:t>
      </w:r>
      <w:r w:rsidRPr="000962C6">
        <w:rPr>
          <w:lang w:val="en-GB"/>
        </w:rPr>
        <w:t>. Arch. Environ. Contam. Toxicol. 18</w:t>
      </w:r>
      <w:r w:rsidRPr="000962C6">
        <w:rPr>
          <w:b/>
          <w:lang w:val="en-GB"/>
        </w:rPr>
        <w:t>,</w:t>
      </w:r>
      <w:r w:rsidRPr="000962C6">
        <w:rPr>
          <w:lang w:val="en-GB"/>
        </w:rPr>
        <w:t xml:space="preserve"> 756-764.</w:t>
      </w:r>
    </w:p>
    <w:p w:rsidR="0066313D" w:rsidRPr="000962C6" w:rsidRDefault="0066313D" w:rsidP="0066313D">
      <w:pPr>
        <w:pStyle w:val="EndNoteBibliography"/>
        <w:ind w:left="720" w:hanging="720"/>
        <w:rPr>
          <w:lang w:val="en-GB"/>
        </w:rPr>
      </w:pPr>
      <w:r w:rsidRPr="000962C6">
        <w:rPr>
          <w:lang w:val="en-GB"/>
        </w:rPr>
        <w:t>Charles, S., Ducrot, V., Azam, D., Benstead, R., Brettschneider, D., De Schamphelaere, K., Filipe Goncalves, S., Green, J. W., Holbech, H., Hutchinson, T. H., Faber, D., Laranjeiro, F., Matthiessen, P., Norrgren, L., Oehlmann, J., Reategui-Zirena, E., Seeland-Fremer, A., Teigeler, M., Thome, J.-P., Tobor Kaplon, M., Weltje, L., Lagadic, L., 2016. Optimizing the design of a reproduction toxicity test with the pond snail Lymnaea stagnalis. Regul Toxicol Pharm. 81, 47-56.</w:t>
      </w:r>
    </w:p>
    <w:p w:rsidR="00524751" w:rsidRPr="000962C6" w:rsidRDefault="00524751" w:rsidP="00280083">
      <w:pPr>
        <w:pStyle w:val="EndNoteBibliography"/>
        <w:ind w:left="720" w:hanging="720"/>
        <w:rPr>
          <w:lang w:val="en-GB"/>
        </w:rPr>
      </w:pPr>
      <w:r w:rsidRPr="000962C6">
        <w:rPr>
          <w:lang w:val="en-GB"/>
        </w:rPr>
        <w:t>DIN EN ISO 17294-2, 2005. Water quality - Application of inductively coupled plasma mass spectrometry (ICP-MS) - Part 2: Determination of 62 elements. Beuth-Verlag, Berlin, Germany.</w:t>
      </w:r>
    </w:p>
    <w:p w:rsidR="009951C6" w:rsidRPr="000962C6" w:rsidRDefault="009951C6" w:rsidP="00280083">
      <w:pPr>
        <w:pStyle w:val="EndNoteBibliography"/>
        <w:ind w:left="720" w:hanging="720"/>
        <w:rPr>
          <w:lang w:val="en-GB"/>
        </w:rPr>
      </w:pPr>
      <w:r w:rsidRPr="000962C6">
        <w:rPr>
          <w:lang w:val="en-GB"/>
        </w:rPr>
        <w:t xml:space="preserve">Ducrot, V., Askem, C., Azam, D., Brettschneider, D., Brown, R., Charles, S., Coke, M., Collinet, M., Delignette-Muller, M. L., Forfait-Dubuc, C., Holbech, H., Hutchinson, T., Jach, A., Kinnberg, K. L., Lacoste, C., Le Page, G., Matthiessen, P., Oehlmann, J., Rice, L., Roberts, E., Ruppert, K., Davis, J. E., Veauvy, C., Weltje, L., Wortham, R., Lagadic, L., 2014. Development and validation of an OECD reproductive toxicity test guideline with the pond snail </w:t>
      </w:r>
      <w:r w:rsidRPr="000962C6">
        <w:rPr>
          <w:i/>
          <w:lang w:val="en-GB"/>
        </w:rPr>
        <w:t xml:space="preserve">Lymnaea stagnalis </w:t>
      </w:r>
      <w:r w:rsidRPr="000962C6">
        <w:rPr>
          <w:lang w:val="en-GB"/>
        </w:rPr>
        <w:t>(Mollusca, Gastropoda). Reg</w:t>
      </w:r>
      <w:r w:rsidR="00DC4133" w:rsidRPr="000962C6">
        <w:rPr>
          <w:lang w:val="en-GB"/>
        </w:rPr>
        <w:t xml:space="preserve">. </w:t>
      </w:r>
      <w:r w:rsidRPr="000962C6">
        <w:rPr>
          <w:lang w:val="en-GB"/>
        </w:rPr>
        <w:t>Toxicol</w:t>
      </w:r>
      <w:r w:rsidR="00DC4133" w:rsidRPr="000962C6">
        <w:rPr>
          <w:lang w:val="en-GB"/>
        </w:rPr>
        <w:t>.</w:t>
      </w:r>
      <w:r w:rsidRPr="000962C6">
        <w:rPr>
          <w:lang w:val="en-GB"/>
        </w:rPr>
        <w:t xml:space="preserve"> Pharmacol.</w:t>
      </w:r>
      <w:r w:rsidR="00DC4133" w:rsidRPr="000962C6">
        <w:rPr>
          <w:lang w:val="en-GB"/>
        </w:rPr>
        <w:t xml:space="preserve"> </w:t>
      </w:r>
      <w:r w:rsidR="00043E85" w:rsidRPr="000962C6">
        <w:rPr>
          <w:lang w:val="en-GB"/>
        </w:rPr>
        <w:t>70, 605-614.</w:t>
      </w:r>
    </w:p>
    <w:p w:rsidR="009951C6" w:rsidRPr="000962C6" w:rsidRDefault="009951C6" w:rsidP="00280083">
      <w:pPr>
        <w:pStyle w:val="EndNoteBibliography"/>
        <w:ind w:left="720" w:hanging="720"/>
        <w:rPr>
          <w:lang w:val="en-GB"/>
        </w:rPr>
      </w:pPr>
      <w:r w:rsidRPr="000962C6">
        <w:rPr>
          <w:lang w:val="en-GB"/>
        </w:rPr>
        <w:t xml:space="preserve">Duft, M., Schulte-Oehlmann, U., Tillmann, M., Markert, B., Oehlmann, J., 2003. Toxicity of triphenyltin and tributyltin to the freshwater mudsnail </w:t>
      </w:r>
      <w:r w:rsidRPr="000962C6">
        <w:rPr>
          <w:i/>
          <w:lang w:val="en-GB"/>
        </w:rPr>
        <w:t>Potamopyrgus antipodarum</w:t>
      </w:r>
      <w:r w:rsidRPr="000962C6">
        <w:rPr>
          <w:lang w:val="en-GB"/>
        </w:rPr>
        <w:t xml:space="preserve"> in a new sediment biotest. Environ. Toxicol. Chem. 22</w:t>
      </w:r>
      <w:r w:rsidRPr="000962C6">
        <w:rPr>
          <w:b/>
          <w:lang w:val="en-GB"/>
        </w:rPr>
        <w:t>,</w:t>
      </w:r>
      <w:r w:rsidRPr="000962C6">
        <w:rPr>
          <w:lang w:val="en-GB"/>
        </w:rPr>
        <w:t xml:space="preserve"> 145-152.</w:t>
      </w:r>
    </w:p>
    <w:p w:rsidR="00524751" w:rsidRPr="000962C6" w:rsidRDefault="00524751" w:rsidP="00524751">
      <w:pPr>
        <w:pStyle w:val="EndNoteBibliography"/>
        <w:ind w:left="720" w:hanging="720"/>
        <w:rPr>
          <w:lang w:val="en-GB"/>
        </w:rPr>
      </w:pPr>
      <w:r w:rsidRPr="000962C6">
        <w:rPr>
          <w:lang w:val="en-GB"/>
        </w:rPr>
        <w:t xml:space="preserve">Duft, M., Schmitt, C., Bachmann, J., Brandelik, C., Schulte-Oehlmann, U., Oehlmann, J., 2007. Prosobranch snails as test organisms for the assessment of endocrine active chemicals - an overview and a guideline proposal for a reproduction test with the freshwater mudsnail </w:t>
      </w:r>
      <w:r w:rsidRPr="000962C6">
        <w:rPr>
          <w:i/>
          <w:lang w:val="en-GB"/>
        </w:rPr>
        <w:t>Potamopyrgus antipodarum</w:t>
      </w:r>
      <w:r w:rsidRPr="000962C6">
        <w:rPr>
          <w:lang w:val="en-GB"/>
        </w:rPr>
        <w:t>. Ecotoxicology. 16</w:t>
      </w:r>
      <w:r w:rsidRPr="000962C6">
        <w:rPr>
          <w:b/>
          <w:lang w:val="en-GB"/>
        </w:rPr>
        <w:t>,</w:t>
      </w:r>
      <w:r w:rsidRPr="000962C6">
        <w:rPr>
          <w:lang w:val="en-GB"/>
        </w:rPr>
        <w:t xml:space="preserve"> 169-182.</w:t>
      </w:r>
    </w:p>
    <w:p w:rsidR="009951C6" w:rsidRPr="000962C6" w:rsidRDefault="00935C16" w:rsidP="00280083">
      <w:pPr>
        <w:pStyle w:val="EndNoteBibliography"/>
        <w:ind w:left="720" w:hanging="720"/>
        <w:rPr>
          <w:lang w:val="en-GB"/>
        </w:rPr>
      </w:pPr>
      <w:r w:rsidRPr="000962C6">
        <w:rPr>
          <w:lang w:val="en-GB"/>
        </w:rPr>
        <w:t>Fretter, V., Graham, A</w:t>
      </w:r>
      <w:r w:rsidR="009951C6" w:rsidRPr="000962C6">
        <w:rPr>
          <w:lang w:val="en-GB"/>
        </w:rPr>
        <w:t>. British prosobranch mollusc</w:t>
      </w:r>
      <w:r w:rsidR="0053578C" w:rsidRPr="000962C6">
        <w:rPr>
          <w:lang w:val="en-GB"/>
        </w:rPr>
        <w:t>s</w:t>
      </w:r>
      <w:r w:rsidR="009951C6" w:rsidRPr="000962C6">
        <w:rPr>
          <w:lang w:val="en-GB"/>
        </w:rPr>
        <w:t>. Their functional anatomy and ecology; The Ray Society; London, England, 1994.</w:t>
      </w:r>
    </w:p>
    <w:p w:rsidR="00DB6436" w:rsidRPr="000962C6" w:rsidRDefault="00DB6436" w:rsidP="00280083">
      <w:pPr>
        <w:pStyle w:val="EndNoteBibliography"/>
        <w:ind w:left="720" w:hanging="720"/>
        <w:rPr>
          <w:lang w:val="en-GB"/>
        </w:rPr>
      </w:pPr>
      <w:r w:rsidRPr="000962C6">
        <w:rPr>
          <w:lang w:val="en-GB"/>
        </w:rPr>
        <w:t xml:space="preserve">Giraud-Billoud, M., Vega, I. A., Wuilloud, R. G., Clement, M. E., Castro-Vazquez, A., 2013. Imposex and novel mechanisms of reproductive failure induced by tributyltin (TBT) in the freshwater snail </w:t>
      </w:r>
      <w:r w:rsidRPr="000962C6">
        <w:rPr>
          <w:i/>
          <w:lang w:val="en-GB"/>
        </w:rPr>
        <w:t>Pomacea canaliculata</w:t>
      </w:r>
      <w:r w:rsidRPr="000962C6">
        <w:rPr>
          <w:lang w:val="en-GB"/>
        </w:rPr>
        <w:t>. Environ. Toxicol. Chem. 32, 2365-2371.</w:t>
      </w:r>
    </w:p>
    <w:p w:rsidR="009951C6" w:rsidRPr="000962C6" w:rsidRDefault="009951C6" w:rsidP="00280083">
      <w:pPr>
        <w:pStyle w:val="EndNoteBibliography"/>
        <w:ind w:left="720" w:hanging="720"/>
        <w:rPr>
          <w:lang w:val="en-GB"/>
        </w:rPr>
      </w:pPr>
      <w:r w:rsidRPr="000962C6">
        <w:rPr>
          <w:lang w:val="en-GB"/>
        </w:rPr>
        <w:t xml:space="preserve">Gourmelon, A., Ahtiainen, J., 2007. Developing </w:t>
      </w:r>
      <w:r w:rsidR="00DC4133" w:rsidRPr="000962C6">
        <w:rPr>
          <w:lang w:val="en-GB"/>
        </w:rPr>
        <w:t xml:space="preserve">test guidelines </w:t>
      </w:r>
      <w:r w:rsidRPr="000962C6">
        <w:rPr>
          <w:lang w:val="en-GB"/>
        </w:rPr>
        <w:t>on invertebrate development and reproduction for the assessment of chemicals, including potential endocrine active substances - The OECD perspective. Ecotoxicology. 16</w:t>
      </w:r>
      <w:r w:rsidRPr="000962C6">
        <w:rPr>
          <w:b/>
          <w:lang w:val="en-GB"/>
        </w:rPr>
        <w:t>,</w:t>
      </w:r>
      <w:r w:rsidRPr="000962C6">
        <w:rPr>
          <w:lang w:val="en-GB"/>
        </w:rPr>
        <w:t xml:space="preserve"> 161-167.</w:t>
      </w:r>
    </w:p>
    <w:p w:rsidR="009951C6" w:rsidRPr="000962C6" w:rsidRDefault="009951C6" w:rsidP="00280083">
      <w:pPr>
        <w:pStyle w:val="EndNoteBibliography"/>
        <w:ind w:left="720" w:hanging="720"/>
        <w:rPr>
          <w:lang w:val="en-GB"/>
        </w:rPr>
      </w:pPr>
      <w:r w:rsidRPr="000962C6">
        <w:rPr>
          <w:lang w:val="en-GB"/>
        </w:rPr>
        <w:t>Green, J., Wheeler, J. R., 2013. The use of carrier solvents in regulatory aquatic toxicology testing: Practical, statistical and regulatory considerations. Aquat. Toxicol. 144</w:t>
      </w:r>
      <w:r w:rsidRPr="000962C6">
        <w:rPr>
          <w:b/>
          <w:lang w:val="en-GB"/>
        </w:rPr>
        <w:t>,</w:t>
      </w:r>
      <w:r w:rsidRPr="000962C6">
        <w:rPr>
          <w:lang w:val="en-GB"/>
        </w:rPr>
        <w:t xml:space="preserve"> 242-249.</w:t>
      </w:r>
    </w:p>
    <w:p w:rsidR="009951C6" w:rsidRPr="000962C6" w:rsidRDefault="009951C6" w:rsidP="00280083">
      <w:pPr>
        <w:pStyle w:val="EndNoteBibliography"/>
        <w:ind w:left="720" w:hanging="720"/>
        <w:rPr>
          <w:lang w:val="en-GB"/>
        </w:rPr>
      </w:pPr>
      <w:r w:rsidRPr="000962C6">
        <w:rPr>
          <w:lang w:val="en-GB"/>
        </w:rPr>
        <w:t xml:space="preserve">Gust, M., Mouthon, J., Queau, H., Dussart, C., Buronfosse, T., Garric, J., 2011. Natural variability and response interpretation of fecundity, vertebrate-like sex-steroid levels and energy status in the New Zealand mudsnail </w:t>
      </w:r>
      <w:r w:rsidRPr="000962C6">
        <w:rPr>
          <w:i/>
          <w:lang w:val="en-GB"/>
        </w:rPr>
        <w:t>Potamopyrgus antipodarum</w:t>
      </w:r>
      <w:r w:rsidRPr="000962C6">
        <w:rPr>
          <w:lang w:val="en-GB"/>
        </w:rPr>
        <w:t xml:space="preserve"> (Gray). Gen. Comp. Endocrinol. 172</w:t>
      </w:r>
      <w:r w:rsidRPr="000962C6">
        <w:rPr>
          <w:b/>
          <w:lang w:val="en-GB"/>
        </w:rPr>
        <w:t>,</w:t>
      </w:r>
      <w:r w:rsidRPr="000962C6">
        <w:rPr>
          <w:lang w:val="en-GB"/>
        </w:rPr>
        <w:t xml:space="preserve"> 243-250.</w:t>
      </w:r>
    </w:p>
    <w:p w:rsidR="009951C6" w:rsidRPr="000962C6" w:rsidRDefault="009951C6" w:rsidP="00280083">
      <w:pPr>
        <w:pStyle w:val="EndNoteBibliography"/>
        <w:ind w:left="720" w:hanging="720"/>
        <w:rPr>
          <w:lang w:val="en-GB"/>
        </w:rPr>
      </w:pPr>
      <w:r w:rsidRPr="000962C6">
        <w:rPr>
          <w:lang w:val="en-GB"/>
        </w:rPr>
        <w:t xml:space="preserve">Jensen, A., Forbes, V. E., Parker, E. D., 2001. Variation in cadmium uptake, feeding rate, and life-history effects in the gastropod </w:t>
      </w:r>
      <w:r w:rsidRPr="000962C6">
        <w:rPr>
          <w:i/>
          <w:lang w:val="en-GB"/>
        </w:rPr>
        <w:t>Potamopyrgus antipodarum</w:t>
      </w:r>
      <w:r w:rsidRPr="000962C6">
        <w:rPr>
          <w:lang w:val="en-GB"/>
        </w:rPr>
        <w:t>: Linking toxicant effects on individuals to the population level. Environ. Toxicol. Chem. 20</w:t>
      </w:r>
      <w:r w:rsidRPr="000962C6">
        <w:rPr>
          <w:b/>
          <w:lang w:val="en-GB"/>
        </w:rPr>
        <w:t>,</w:t>
      </w:r>
      <w:r w:rsidRPr="000962C6">
        <w:rPr>
          <w:lang w:val="en-GB"/>
        </w:rPr>
        <w:t xml:space="preserve"> 2503-2513.</w:t>
      </w:r>
    </w:p>
    <w:p w:rsidR="009951C6" w:rsidRPr="000962C6" w:rsidRDefault="009951C6" w:rsidP="00280083">
      <w:pPr>
        <w:pStyle w:val="EndNoteBibliography"/>
        <w:ind w:left="720" w:hanging="720"/>
        <w:rPr>
          <w:lang w:val="en-GB"/>
        </w:rPr>
      </w:pPr>
      <w:r w:rsidRPr="000962C6">
        <w:rPr>
          <w:lang w:val="en-GB"/>
        </w:rPr>
        <w:lastRenderedPageBreak/>
        <w:t>Jorge, M. B., Loro, V. L., Bianchini, A., Wood, C. M., Gillis, P. L., 2013. Mortality, bioaccumulation and physiological responses in juvenile freshwater mussels (</w:t>
      </w:r>
      <w:r w:rsidRPr="000962C6">
        <w:rPr>
          <w:i/>
          <w:lang w:val="en-GB"/>
        </w:rPr>
        <w:t>Lampsilis siliquoidea</w:t>
      </w:r>
      <w:r w:rsidRPr="000962C6">
        <w:rPr>
          <w:lang w:val="en-GB"/>
        </w:rPr>
        <w:t>) chronically exposed to copper. Aquat. Toxicol. 126</w:t>
      </w:r>
      <w:r w:rsidRPr="000962C6">
        <w:rPr>
          <w:b/>
          <w:lang w:val="en-GB"/>
        </w:rPr>
        <w:t>,</w:t>
      </w:r>
      <w:r w:rsidRPr="000962C6">
        <w:rPr>
          <w:lang w:val="en-GB"/>
        </w:rPr>
        <w:t xml:space="preserve"> 137-147.</w:t>
      </w:r>
    </w:p>
    <w:p w:rsidR="009951C6" w:rsidRPr="000962C6" w:rsidRDefault="009951C6" w:rsidP="00280083">
      <w:pPr>
        <w:pStyle w:val="EndNoteBibliography"/>
        <w:ind w:left="720" w:hanging="720"/>
        <w:rPr>
          <w:lang w:val="en-GB"/>
        </w:rPr>
      </w:pPr>
      <w:r w:rsidRPr="000962C6">
        <w:rPr>
          <w:lang w:val="en-GB"/>
        </w:rPr>
        <w:t xml:space="preserve">Kusk, K. O., </w:t>
      </w:r>
      <w:r w:rsidR="00DC4133" w:rsidRPr="000962C6">
        <w:rPr>
          <w:lang w:val="en-GB"/>
        </w:rPr>
        <w:t xml:space="preserve">2003. </w:t>
      </w:r>
      <w:r w:rsidRPr="000962C6">
        <w:rPr>
          <w:lang w:val="en-GB"/>
        </w:rPr>
        <w:t xml:space="preserve">Program manual for statistical data treatment of toxicity test results. KOK-456T2 program dealing with data from tests with continuous response parameters using curve fitting. Technical University of Denmark, </w:t>
      </w:r>
      <w:r w:rsidR="00DC4133" w:rsidRPr="000962C6">
        <w:rPr>
          <w:lang w:val="en-GB"/>
        </w:rPr>
        <w:t>Odense</w:t>
      </w:r>
      <w:r w:rsidRPr="000962C6">
        <w:rPr>
          <w:lang w:val="en-GB"/>
        </w:rPr>
        <w:t>, Denmark.</w:t>
      </w:r>
    </w:p>
    <w:p w:rsidR="009951C6" w:rsidRPr="000962C6" w:rsidRDefault="009951C6" w:rsidP="00280083">
      <w:pPr>
        <w:pStyle w:val="EndNoteBibliography"/>
        <w:ind w:left="720" w:hanging="720"/>
        <w:rPr>
          <w:lang w:val="en-GB"/>
        </w:rPr>
      </w:pPr>
      <w:r w:rsidRPr="000962C6">
        <w:rPr>
          <w:lang w:val="en-GB"/>
        </w:rPr>
        <w:t xml:space="preserve">Macken, A., Le Page, G., Hayfield, A., Williams, T. D., Brown, R. J., 2012. Effects of test design and temperature in a partial life-cycle study with the freshwater gastropod </w:t>
      </w:r>
      <w:r w:rsidRPr="000962C6">
        <w:rPr>
          <w:i/>
          <w:lang w:val="en-GB"/>
        </w:rPr>
        <w:t>Potamopyrgus antipodarum</w:t>
      </w:r>
      <w:r w:rsidRPr="000962C6">
        <w:rPr>
          <w:lang w:val="en-GB"/>
        </w:rPr>
        <w:t>. Environ. Toxicol. Chem. 31</w:t>
      </w:r>
      <w:r w:rsidRPr="000962C6">
        <w:rPr>
          <w:b/>
          <w:lang w:val="en-GB"/>
        </w:rPr>
        <w:t>,</w:t>
      </w:r>
      <w:r w:rsidRPr="000962C6">
        <w:rPr>
          <w:lang w:val="en-GB"/>
        </w:rPr>
        <w:t xml:space="preserve"> 1989-94.</w:t>
      </w:r>
    </w:p>
    <w:p w:rsidR="009951C6" w:rsidRPr="000962C6" w:rsidRDefault="009951C6" w:rsidP="00280083">
      <w:pPr>
        <w:pStyle w:val="EndNoteBibliography"/>
        <w:ind w:left="720" w:hanging="720"/>
        <w:rPr>
          <w:lang w:val="en-GB"/>
        </w:rPr>
      </w:pPr>
      <w:r w:rsidRPr="000962C6">
        <w:rPr>
          <w:lang w:val="en-GB"/>
        </w:rPr>
        <w:t>Mathijssen-Spiekmann, E. A. M. C., J. H.; Roghair, C. J., Onderzoek naar de toxiciteit van TBTO voor een aantal zoetwaterorganismen (Research into the toxicity of TBTO for a number of freshwater organisms). Report No.: 668118 001. Dutch National Institute for Public Health and the Environment, Bilthoven, The Netherlands: RIVM, 1989.</w:t>
      </w:r>
    </w:p>
    <w:p w:rsidR="009951C6" w:rsidRPr="000962C6" w:rsidRDefault="009951C6" w:rsidP="00280083">
      <w:pPr>
        <w:pStyle w:val="EndNoteBibliography"/>
        <w:ind w:left="720" w:hanging="720"/>
        <w:rPr>
          <w:lang w:val="en-GB"/>
        </w:rPr>
      </w:pPr>
      <w:r w:rsidRPr="000962C6">
        <w:rPr>
          <w:lang w:val="en-GB"/>
        </w:rPr>
        <w:t>Matthiessen, P., 2008. An assessment of endocrine disruption in mollusks and the potential for developing internationally standardized mollusk life cycle test guidelines. Integr. Environ. Assess. Manage. 4</w:t>
      </w:r>
      <w:r w:rsidRPr="000962C6">
        <w:rPr>
          <w:b/>
          <w:lang w:val="en-GB"/>
        </w:rPr>
        <w:t>,</w:t>
      </w:r>
      <w:r w:rsidRPr="000962C6">
        <w:rPr>
          <w:lang w:val="en-GB"/>
        </w:rPr>
        <w:t xml:space="preserve"> 274-284.</w:t>
      </w:r>
    </w:p>
    <w:p w:rsidR="009951C6" w:rsidRPr="000962C6" w:rsidRDefault="009951C6" w:rsidP="00280083">
      <w:pPr>
        <w:pStyle w:val="EndNoteBibliography"/>
        <w:ind w:left="720" w:hanging="720"/>
        <w:rPr>
          <w:lang w:val="en-GB"/>
        </w:rPr>
      </w:pPr>
      <w:r w:rsidRPr="000962C6">
        <w:rPr>
          <w:lang w:val="en-GB"/>
        </w:rPr>
        <w:t>McAllister, B. G., Kime, D. E., 2003. Early life exposure to environmental levels of the aromatase inhibitor tributyltin causes masculinisation and irreversible sperm damage in zebrafish (</w:t>
      </w:r>
      <w:r w:rsidR="009A0F8D" w:rsidRPr="000962C6">
        <w:rPr>
          <w:i/>
          <w:lang w:val="en-GB"/>
        </w:rPr>
        <w:t>Danio rerio</w:t>
      </w:r>
      <w:r w:rsidRPr="000962C6">
        <w:rPr>
          <w:lang w:val="en-GB"/>
        </w:rPr>
        <w:t>). Aquat. Toxicol. 65</w:t>
      </w:r>
      <w:r w:rsidRPr="000962C6">
        <w:rPr>
          <w:b/>
          <w:lang w:val="en-GB"/>
        </w:rPr>
        <w:t>,</w:t>
      </w:r>
      <w:r w:rsidRPr="000962C6">
        <w:rPr>
          <w:lang w:val="en-GB"/>
        </w:rPr>
        <w:t xml:space="preserve"> 309-316.</w:t>
      </w:r>
    </w:p>
    <w:p w:rsidR="009951C6" w:rsidRPr="000962C6" w:rsidRDefault="009951C6" w:rsidP="00280083">
      <w:pPr>
        <w:pStyle w:val="EndNoteBibliography"/>
        <w:ind w:left="720" w:hanging="720"/>
        <w:rPr>
          <w:lang w:val="en-GB"/>
        </w:rPr>
      </w:pPr>
      <w:r w:rsidRPr="000962C6">
        <w:rPr>
          <w:lang w:val="en-GB"/>
        </w:rPr>
        <w:t>Møller, V., Forbes, V., Depledg</w:t>
      </w:r>
      <w:r w:rsidR="00DC4133" w:rsidRPr="000962C6">
        <w:rPr>
          <w:lang w:val="en-GB"/>
        </w:rPr>
        <w:t>e</w:t>
      </w:r>
      <w:r w:rsidRPr="000962C6">
        <w:rPr>
          <w:lang w:val="en-GB"/>
        </w:rPr>
        <w:t xml:space="preserve">, M., 1994. Influence of acclimation and exposure temperature on the acute toxicity of cadmium to the freshwater snail </w:t>
      </w:r>
      <w:r w:rsidRPr="000962C6">
        <w:rPr>
          <w:i/>
          <w:lang w:val="en-GB"/>
        </w:rPr>
        <w:t>Potamopyrgus antipodarum</w:t>
      </w:r>
      <w:r w:rsidRPr="000962C6">
        <w:rPr>
          <w:lang w:val="en-GB"/>
        </w:rPr>
        <w:t xml:space="preserve"> (Hydrobiidae). Environ. Toxicol. Chem. 13</w:t>
      </w:r>
      <w:r w:rsidRPr="000962C6">
        <w:rPr>
          <w:b/>
          <w:lang w:val="en-GB"/>
        </w:rPr>
        <w:t>,</w:t>
      </w:r>
      <w:r w:rsidRPr="000962C6">
        <w:rPr>
          <w:lang w:val="en-GB"/>
        </w:rPr>
        <w:t xml:space="preserve"> 1519-1524.</w:t>
      </w:r>
    </w:p>
    <w:p w:rsidR="009951C6" w:rsidRPr="000962C6" w:rsidRDefault="009951C6" w:rsidP="00280083">
      <w:pPr>
        <w:pStyle w:val="EndNoteBibliography"/>
        <w:ind w:left="720" w:hanging="720"/>
        <w:rPr>
          <w:lang w:val="en-GB"/>
        </w:rPr>
      </w:pPr>
      <w:r w:rsidRPr="000962C6">
        <w:rPr>
          <w:lang w:val="en-GB"/>
        </w:rPr>
        <w:t xml:space="preserve">OECD, 2004. OECD guideline for the testing of chemicals. Sediment-water </w:t>
      </w:r>
      <w:r w:rsidR="00DC4133" w:rsidRPr="000962C6">
        <w:rPr>
          <w:lang w:val="en-GB"/>
        </w:rPr>
        <w:t xml:space="preserve">chironomid </w:t>
      </w:r>
      <w:r w:rsidRPr="000962C6">
        <w:rPr>
          <w:lang w:val="en-GB"/>
        </w:rPr>
        <w:t>toxicity test using spiked water No. 219. Organisation for Economic Co-operation and Development, Paris, France.</w:t>
      </w:r>
    </w:p>
    <w:p w:rsidR="009951C6" w:rsidRPr="000962C6" w:rsidRDefault="009951C6" w:rsidP="00280083">
      <w:pPr>
        <w:pStyle w:val="EndNoteBibliography"/>
        <w:ind w:left="720" w:hanging="720"/>
        <w:rPr>
          <w:lang w:val="en-GB"/>
        </w:rPr>
      </w:pPr>
      <w:r w:rsidRPr="000962C6">
        <w:rPr>
          <w:lang w:val="en-GB"/>
        </w:rPr>
        <w:t>OECD, 2005. Guidance document on the validation and international acceptance of new or updated test methods for hazard assessment. ENV/JM/MONO(2005)14. . No. 34, Organisation for Economic Co-operation and Development, Paris.</w:t>
      </w:r>
    </w:p>
    <w:p w:rsidR="009951C6" w:rsidRPr="000962C6" w:rsidRDefault="009951C6" w:rsidP="00280083">
      <w:pPr>
        <w:pStyle w:val="EndNoteBibliography"/>
        <w:ind w:left="720" w:hanging="720"/>
        <w:rPr>
          <w:lang w:val="en-GB"/>
        </w:rPr>
      </w:pPr>
      <w:r w:rsidRPr="000962C6">
        <w:rPr>
          <w:lang w:val="en-GB"/>
        </w:rPr>
        <w:t>OECD, 2007. Sediment-</w:t>
      </w:r>
      <w:r w:rsidR="00DC4133" w:rsidRPr="000962C6">
        <w:rPr>
          <w:lang w:val="en-GB"/>
        </w:rPr>
        <w:t xml:space="preserve">water </w:t>
      </w:r>
      <w:r w:rsidR="009A0F8D" w:rsidRPr="000962C6">
        <w:rPr>
          <w:i/>
          <w:lang w:val="en-GB"/>
        </w:rPr>
        <w:t>Lumbriculus</w:t>
      </w:r>
      <w:r w:rsidRPr="000962C6">
        <w:rPr>
          <w:lang w:val="en-GB"/>
        </w:rPr>
        <w:t xml:space="preserve"> </w:t>
      </w:r>
      <w:r w:rsidR="00DC4133" w:rsidRPr="000962C6">
        <w:rPr>
          <w:lang w:val="en-GB"/>
        </w:rPr>
        <w:t>toxicity test using spiked sediment</w:t>
      </w:r>
      <w:r w:rsidRPr="000962C6">
        <w:rPr>
          <w:lang w:val="en-GB"/>
        </w:rPr>
        <w:t>. No. 225, Organisation for Economic Co-operation and Development, Paris, France.</w:t>
      </w:r>
    </w:p>
    <w:p w:rsidR="009951C6" w:rsidRPr="000962C6" w:rsidRDefault="009951C6" w:rsidP="00280083">
      <w:pPr>
        <w:pStyle w:val="EndNoteBibliography"/>
        <w:ind w:left="720" w:hanging="720"/>
        <w:rPr>
          <w:lang w:val="en-GB"/>
        </w:rPr>
      </w:pPr>
      <w:r w:rsidRPr="000962C6">
        <w:rPr>
          <w:lang w:val="en-GB"/>
        </w:rPr>
        <w:t>OECD, 2010a. Detailed review paper on molluscs life-cycle toxicity testing. Environmental Health and Safety Publications. Series on Testing and Assessment Number 121. ENV/JM/MONO(2010)9,Organisation for Economic Co-operation and Development, Paris, France.</w:t>
      </w:r>
    </w:p>
    <w:p w:rsidR="009951C6" w:rsidRPr="000962C6" w:rsidRDefault="009951C6" w:rsidP="00280083">
      <w:pPr>
        <w:pStyle w:val="EndNoteBibliography"/>
        <w:ind w:left="720" w:hanging="720"/>
        <w:rPr>
          <w:lang w:val="en-GB"/>
        </w:rPr>
      </w:pPr>
      <w:r w:rsidRPr="000962C6">
        <w:rPr>
          <w:lang w:val="en-GB"/>
        </w:rPr>
        <w:t>OECD, 2010b. Validation report of the chironomid full life-cycle toxicity test No. 136, Organisation for Economic Co-operation and Development, Paris, France.</w:t>
      </w:r>
    </w:p>
    <w:p w:rsidR="009951C6" w:rsidRPr="000962C6" w:rsidRDefault="009951C6" w:rsidP="00280083">
      <w:pPr>
        <w:pStyle w:val="EndNoteBibliography"/>
        <w:ind w:left="720" w:hanging="720"/>
        <w:rPr>
          <w:lang w:val="en-GB"/>
        </w:rPr>
      </w:pPr>
      <w:r w:rsidRPr="000962C6">
        <w:rPr>
          <w:lang w:val="en-GB"/>
        </w:rPr>
        <w:t>OECD, 2012a. Guidance document on standardised test guidelines for evaluating chemicals for endocrine disruption  No. 150, Organisation for Economic Co-operation and Development, Paris, France.</w:t>
      </w:r>
    </w:p>
    <w:p w:rsidR="009951C6" w:rsidRPr="000962C6" w:rsidRDefault="009951C6" w:rsidP="00280083">
      <w:pPr>
        <w:pStyle w:val="EndNoteBibliography"/>
        <w:ind w:left="720" w:hanging="720"/>
        <w:rPr>
          <w:lang w:val="en-GB"/>
        </w:rPr>
      </w:pPr>
      <w:r w:rsidRPr="000962C6">
        <w:rPr>
          <w:lang w:val="en-GB"/>
        </w:rPr>
        <w:t xml:space="preserve">OECD, 2012b. OECD guideline for the testing of chemicals. </w:t>
      </w:r>
      <w:r w:rsidR="009A0F8D" w:rsidRPr="000962C6">
        <w:rPr>
          <w:i/>
          <w:lang w:val="en-GB"/>
        </w:rPr>
        <w:t>Daphnia magna</w:t>
      </w:r>
      <w:r w:rsidRPr="000962C6">
        <w:rPr>
          <w:lang w:val="en-GB"/>
        </w:rPr>
        <w:t xml:space="preserve"> reproduction test. No. 211, Organisation for Economic Co-operation and Development, Paris, France.</w:t>
      </w:r>
    </w:p>
    <w:p w:rsidR="009951C6" w:rsidRPr="000962C6" w:rsidRDefault="009951C6" w:rsidP="00280083">
      <w:pPr>
        <w:pStyle w:val="EndNoteBibliography"/>
        <w:ind w:left="720" w:hanging="720"/>
        <w:rPr>
          <w:lang w:val="en-GB"/>
        </w:rPr>
      </w:pPr>
      <w:r w:rsidRPr="000962C6">
        <w:rPr>
          <w:lang w:val="en-GB"/>
        </w:rPr>
        <w:t>OECD, 2015. Work plan for the test guidelines programme. Organisation for Economic Co-operation and Development, Paris.</w:t>
      </w:r>
    </w:p>
    <w:p w:rsidR="009951C6" w:rsidRPr="000962C6" w:rsidRDefault="009951C6" w:rsidP="00280083">
      <w:pPr>
        <w:pStyle w:val="EndNoteBibliography"/>
        <w:ind w:left="720" w:hanging="720"/>
        <w:rPr>
          <w:lang w:val="en-GB"/>
        </w:rPr>
      </w:pPr>
      <w:r w:rsidRPr="000962C6">
        <w:rPr>
          <w:lang w:val="en-GB"/>
        </w:rPr>
        <w:t xml:space="preserve">Ponder, W. F., 1988. </w:t>
      </w:r>
      <w:r w:rsidRPr="000962C6">
        <w:rPr>
          <w:i/>
          <w:lang w:val="en-GB"/>
        </w:rPr>
        <w:t>Potamopyrgus antipodarum</w:t>
      </w:r>
      <w:r w:rsidRPr="000962C6">
        <w:rPr>
          <w:lang w:val="en-GB"/>
        </w:rPr>
        <w:t xml:space="preserve"> - a </w:t>
      </w:r>
      <w:r w:rsidR="00ED7526" w:rsidRPr="000962C6">
        <w:rPr>
          <w:lang w:val="en-GB"/>
        </w:rPr>
        <w:t xml:space="preserve">molluscan colonizer </w:t>
      </w:r>
      <w:r w:rsidRPr="000962C6">
        <w:rPr>
          <w:lang w:val="en-GB"/>
        </w:rPr>
        <w:t xml:space="preserve">of Europe and Australia. J. </w:t>
      </w:r>
      <w:r w:rsidR="00ED7526" w:rsidRPr="000962C6">
        <w:rPr>
          <w:lang w:val="en-GB"/>
        </w:rPr>
        <w:t xml:space="preserve">Moll. </w:t>
      </w:r>
      <w:r w:rsidRPr="000962C6">
        <w:rPr>
          <w:lang w:val="en-GB"/>
        </w:rPr>
        <w:t>Stud. 54</w:t>
      </w:r>
      <w:r w:rsidRPr="000962C6">
        <w:rPr>
          <w:b/>
          <w:lang w:val="en-GB"/>
        </w:rPr>
        <w:t>,</w:t>
      </w:r>
      <w:r w:rsidRPr="000962C6">
        <w:rPr>
          <w:lang w:val="en-GB"/>
        </w:rPr>
        <w:t xml:space="preserve"> 271-285.</w:t>
      </w:r>
    </w:p>
    <w:p w:rsidR="00524751" w:rsidRPr="000962C6" w:rsidRDefault="00524751" w:rsidP="00280083">
      <w:pPr>
        <w:pStyle w:val="EndNoteBibliography"/>
        <w:ind w:left="720" w:hanging="720"/>
        <w:rPr>
          <w:lang w:val="en-GB"/>
        </w:rPr>
      </w:pPr>
      <w:r w:rsidRPr="000962C6">
        <w:rPr>
          <w:lang w:val="en-GB"/>
        </w:rPr>
        <w:t xml:space="preserve">Ruppert, K., Geiß, C., Ostermann, S., Theis, C., Oehlmann, J., 2016. Comparative sensitivity of juvenile and adult </w:t>
      </w:r>
      <w:r w:rsidRPr="000962C6">
        <w:rPr>
          <w:i/>
          <w:lang w:val="en-GB"/>
        </w:rPr>
        <w:t>Potamopyrgus antipodarum</w:t>
      </w:r>
      <w:r w:rsidRPr="000962C6">
        <w:rPr>
          <w:lang w:val="en-GB"/>
        </w:rPr>
        <w:t xml:space="preserve"> (Mollusca: Hydrobiidae) under chronic exposure to cadmium and tributyltin. J. Environ. Sci. Health A. doi:10.1080/10934529.2016.1170443.</w:t>
      </w:r>
    </w:p>
    <w:p w:rsidR="009951C6" w:rsidRPr="000962C6" w:rsidRDefault="009951C6" w:rsidP="00280083">
      <w:pPr>
        <w:pStyle w:val="EndNoteBibliography"/>
        <w:ind w:left="720" w:hanging="720"/>
        <w:rPr>
          <w:lang w:val="en-GB"/>
        </w:rPr>
      </w:pPr>
      <w:r w:rsidRPr="000962C6">
        <w:rPr>
          <w:lang w:val="en-GB"/>
        </w:rPr>
        <w:lastRenderedPageBreak/>
        <w:t xml:space="preserve">Sieratowicz, A., Stange, D., Schulte-Oehlmann, U., Oehlmann, J., 2011. Reproductive toxicity of bisphenol A and cadmium in </w:t>
      </w:r>
      <w:r w:rsidRPr="000962C6">
        <w:rPr>
          <w:i/>
          <w:lang w:val="en-GB"/>
        </w:rPr>
        <w:t>Potamopyrgus antipodarum</w:t>
      </w:r>
      <w:r w:rsidRPr="000962C6">
        <w:rPr>
          <w:lang w:val="en-GB"/>
        </w:rPr>
        <w:t xml:space="preserve"> and modulation of bisphenol A effects by different test temperature. Environ. Pollut. 159</w:t>
      </w:r>
      <w:r w:rsidRPr="000962C6">
        <w:rPr>
          <w:b/>
          <w:lang w:val="en-GB"/>
        </w:rPr>
        <w:t>,</w:t>
      </w:r>
      <w:r w:rsidRPr="000962C6">
        <w:rPr>
          <w:lang w:val="en-GB"/>
        </w:rPr>
        <w:t xml:space="preserve"> 2766-74.</w:t>
      </w:r>
    </w:p>
    <w:p w:rsidR="00936442" w:rsidRPr="000962C6" w:rsidRDefault="00936442" w:rsidP="00936442">
      <w:pPr>
        <w:pStyle w:val="EndNoteBibliography"/>
        <w:ind w:left="720" w:hanging="720"/>
        <w:rPr>
          <w:lang w:val="en-GB"/>
        </w:rPr>
      </w:pPr>
      <w:r w:rsidRPr="000962C6">
        <w:rPr>
          <w:lang w:val="en-GB"/>
        </w:rPr>
        <w:t xml:space="preserve">Sieratowicz, A., Schulte-Oehlmann, U., Wigh, A., Oehlmann, J., 2013. Effects of test media on reproduction in </w:t>
      </w:r>
      <w:r w:rsidRPr="000962C6">
        <w:rPr>
          <w:i/>
          <w:lang w:val="en-GB"/>
        </w:rPr>
        <w:t>Potamopyrgus antipodarum</w:t>
      </w:r>
      <w:r w:rsidRPr="000962C6">
        <w:rPr>
          <w:lang w:val="en-GB"/>
        </w:rPr>
        <w:t xml:space="preserve"> and of pre-exposure population densities on sensitivity to cadmium in a reproduction test. J. Environ. Sci. Health A 48</w:t>
      </w:r>
      <w:r w:rsidRPr="000962C6">
        <w:rPr>
          <w:b/>
          <w:lang w:val="en-GB"/>
        </w:rPr>
        <w:t>,</w:t>
      </w:r>
      <w:r w:rsidRPr="000962C6">
        <w:rPr>
          <w:lang w:val="en-GB"/>
        </w:rPr>
        <w:t xml:space="preserve"> 481-8.</w:t>
      </w:r>
    </w:p>
    <w:p w:rsidR="009951C6" w:rsidRPr="000962C6" w:rsidRDefault="00936442" w:rsidP="00280083">
      <w:pPr>
        <w:pStyle w:val="EndNoteBibliography"/>
        <w:ind w:left="720" w:hanging="720"/>
        <w:rPr>
          <w:lang w:val="en-GB"/>
        </w:rPr>
      </w:pPr>
      <w:r w:rsidRPr="000962C6">
        <w:rPr>
          <w:lang w:val="en-GB"/>
        </w:rPr>
        <w:t xml:space="preserve">Stroben, E., Oehlmann, J., Fioroni, P., 1992. </w:t>
      </w:r>
      <w:r w:rsidRPr="000962C6">
        <w:rPr>
          <w:i/>
          <w:lang w:val="en-GB"/>
        </w:rPr>
        <w:t>Hinia reticulata</w:t>
      </w:r>
      <w:r w:rsidRPr="000962C6">
        <w:rPr>
          <w:lang w:val="en-GB"/>
        </w:rPr>
        <w:t xml:space="preserve"> and </w:t>
      </w:r>
      <w:r w:rsidRPr="000962C6">
        <w:rPr>
          <w:i/>
          <w:lang w:val="en-GB"/>
        </w:rPr>
        <w:t>Nucella lapillus</w:t>
      </w:r>
      <w:r w:rsidRPr="000962C6">
        <w:rPr>
          <w:lang w:val="en-GB"/>
        </w:rPr>
        <w:t>. Comparison of two gastropod tributyltin bioindicators. Mar. Biol. 114, 289-296.</w:t>
      </w:r>
    </w:p>
    <w:p w:rsidR="00AB320E" w:rsidRPr="000962C6" w:rsidRDefault="00AB320E" w:rsidP="00280083">
      <w:pPr>
        <w:pStyle w:val="EndNoteBibliography"/>
        <w:ind w:left="720" w:hanging="720"/>
        <w:rPr>
          <w:lang w:val="en-GB"/>
        </w:rPr>
      </w:pPr>
      <w:r w:rsidRPr="000962C6">
        <w:rPr>
          <w:lang w:val="en-GB"/>
        </w:rPr>
        <w:t xml:space="preserve">Tassou, K. T., Schulz, R., 2009. Effects of the insect growth regulator pyriproxyfen in a two-generation test with </w:t>
      </w:r>
      <w:r w:rsidRPr="000962C6">
        <w:rPr>
          <w:i/>
          <w:lang w:val="en-GB"/>
        </w:rPr>
        <w:t>Chironomus riparius</w:t>
      </w:r>
      <w:r w:rsidRPr="000962C6">
        <w:rPr>
          <w:lang w:val="en-GB"/>
        </w:rPr>
        <w:t>. Ecotox. Environ. Safe. 72, 1058-1062.</w:t>
      </w:r>
    </w:p>
    <w:p w:rsidR="00A0531B" w:rsidRDefault="009951C6" w:rsidP="00DB6436">
      <w:pPr>
        <w:pStyle w:val="EndNoteBibliography"/>
        <w:ind w:left="720" w:hanging="720"/>
      </w:pPr>
      <w:r w:rsidRPr="000962C6">
        <w:rPr>
          <w:lang w:val="en-GB"/>
        </w:rPr>
        <w:t xml:space="preserve">Taenzler, V., Bruns, E., Dorgerloh, M., Pfeifle, V., Weltje, L., 2007. Chironomids: suitable test organisms for risk assessment investigations on the potential endocrine disrupting properties of pesticides. </w:t>
      </w:r>
      <w:r w:rsidRPr="00951F3B">
        <w:t>Ecotoxicology. 16</w:t>
      </w:r>
      <w:r w:rsidRPr="00951F3B">
        <w:rPr>
          <w:b/>
        </w:rPr>
        <w:t>,</w:t>
      </w:r>
      <w:r w:rsidRPr="00951F3B">
        <w:t xml:space="preserve"> 221-230.</w:t>
      </w:r>
    </w:p>
    <w:p w:rsidR="00A0531B" w:rsidRDefault="00A0531B" w:rsidP="00DB6436">
      <w:pPr>
        <w:pStyle w:val="EndNoteBibliography"/>
        <w:ind w:left="720" w:hanging="720"/>
      </w:pPr>
    </w:p>
    <w:bookmarkStart w:id="0" w:name="_GoBack"/>
    <w:bookmarkEnd w:id="0"/>
    <w:p w:rsidR="00DB6436" w:rsidRDefault="00397172" w:rsidP="00A0531B">
      <w:pPr>
        <w:pStyle w:val="EndNoteBibliography"/>
      </w:pPr>
      <w:r>
        <w:fldChar w:fldCharType="begin"/>
      </w:r>
      <w:r w:rsidR="00A0531B">
        <w:instrText xml:space="preserve"> ADDIN EN.REFLIST </w:instrText>
      </w:r>
      <w:r>
        <w:fldChar w:fldCharType="end"/>
      </w:r>
    </w:p>
    <w:sectPr w:rsidR="00DB6436" w:rsidSect="009951C6">
      <w:headerReference w:type="default" r:id="rId12"/>
      <w:footerReference w:type="default" r:id="rId13"/>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F8" w:rsidRDefault="004821F8" w:rsidP="009951C6">
      <w:r>
        <w:separator/>
      </w:r>
    </w:p>
  </w:endnote>
  <w:endnote w:type="continuationSeparator" w:id="0">
    <w:p w:rsidR="004821F8" w:rsidRDefault="004821F8" w:rsidP="0099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terstate-BoldCondensed">
    <w:panose1 w:val="00000000000000000000"/>
    <w:charset w:val="00"/>
    <w:family w:val="auto"/>
    <w:notTrueType/>
    <w:pitch w:val="variable"/>
    <w:sig w:usb0="00000083" w:usb1="00000000" w:usb2="00000000" w:usb3="00000000" w:csb0="00000009" w:csb1="00000000"/>
  </w:font>
  <w:font w:name="Cambria Math">
    <w:panose1 w:val="02040503050406030204"/>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047871"/>
      <w:docPartObj>
        <w:docPartGallery w:val="Page Numbers (Bottom of Page)"/>
        <w:docPartUnique/>
      </w:docPartObj>
    </w:sdtPr>
    <w:sdtEndPr>
      <w:rPr>
        <w:noProof/>
      </w:rPr>
    </w:sdtEndPr>
    <w:sdtContent>
      <w:p w:rsidR="000962C6" w:rsidRDefault="000962C6">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0962C6" w:rsidRDefault="00096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F8" w:rsidRDefault="004821F8" w:rsidP="009951C6">
      <w:r>
        <w:separator/>
      </w:r>
    </w:p>
  </w:footnote>
  <w:footnote w:type="continuationSeparator" w:id="0">
    <w:p w:rsidR="004821F8" w:rsidRDefault="004821F8" w:rsidP="009951C6">
      <w:r>
        <w:continuationSeparator/>
      </w:r>
    </w:p>
  </w:footnote>
  <w:footnote w:id="1">
    <w:p w:rsidR="00A0531B" w:rsidRPr="00894B5F" w:rsidRDefault="00A0531B">
      <w:pPr>
        <w:pStyle w:val="FootnoteText"/>
        <w:rPr>
          <w:lang w:val="en-US"/>
        </w:rPr>
      </w:pPr>
      <w:r w:rsidRPr="00894B5F">
        <w:rPr>
          <w:rStyle w:val="FootnoteReference"/>
        </w:rPr>
        <w:footnoteRef/>
      </w:r>
      <w:r>
        <w:rPr>
          <w:lang w:val="en-US"/>
        </w:rPr>
        <w:t xml:space="preserve"> Present address</w:t>
      </w:r>
      <w:r w:rsidRPr="00894B5F">
        <w:rPr>
          <w:lang w:val="en-US"/>
        </w:rPr>
        <w:t>:</w:t>
      </w:r>
      <w:r w:rsidRPr="00894B5F">
        <w:t xml:space="preserve"> </w:t>
      </w:r>
      <w:r w:rsidRPr="00894B5F">
        <w:rPr>
          <w:lang w:val="en-US"/>
        </w:rPr>
        <w:t>WCA Environmental Ltd., Brunel House, Faringdon SN7 7YR, UK.</w:t>
      </w:r>
      <w:r w:rsidRPr="00894B5F">
        <w:t xml:space="preserve"> </w:t>
      </w:r>
    </w:p>
  </w:footnote>
  <w:footnote w:id="2">
    <w:p w:rsidR="00A0531B" w:rsidRPr="00894B5F" w:rsidRDefault="00A0531B" w:rsidP="00280083">
      <w:pPr>
        <w:pStyle w:val="FootnoteText"/>
        <w:rPr>
          <w:lang w:val="en-GB"/>
        </w:rPr>
      </w:pPr>
      <w:r w:rsidRPr="00894B5F">
        <w:rPr>
          <w:rStyle w:val="FootnoteReference"/>
        </w:rPr>
        <w:footnoteRef/>
      </w:r>
      <w:r w:rsidRPr="00894B5F">
        <w:t xml:space="preserve"> </w:t>
      </w:r>
      <w:r>
        <w:rPr>
          <w:lang w:val="en-US"/>
        </w:rPr>
        <w:t>Present address</w:t>
      </w:r>
      <w:r w:rsidRPr="00894B5F">
        <w:rPr>
          <w:lang w:val="en-GB"/>
        </w:rPr>
        <w:t xml:space="preserve">: Bayer </w:t>
      </w:r>
      <w:r>
        <w:rPr>
          <w:lang w:val="en-GB"/>
        </w:rPr>
        <w:t xml:space="preserve">CropScience </w:t>
      </w:r>
      <w:r w:rsidRPr="00894B5F">
        <w:rPr>
          <w:lang w:val="en-GB"/>
        </w:rPr>
        <w:t>AG, Environmental Safety/Ecotoxicology, 40789 Monheim, Germany.</w:t>
      </w:r>
    </w:p>
  </w:footnote>
  <w:footnote w:id="3">
    <w:p w:rsidR="00A0531B" w:rsidRPr="00937B38" w:rsidRDefault="00A0531B">
      <w:pPr>
        <w:pStyle w:val="FootnoteText"/>
        <w:rPr>
          <w:lang w:val="en-US"/>
        </w:rPr>
      </w:pPr>
      <w:r w:rsidRPr="00894B5F">
        <w:rPr>
          <w:rStyle w:val="FootnoteReference"/>
        </w:rPr>
        <w:footnoteRef/>
      </w:r>
      <w:r w:rsidRPr="00894B5F">
        <w:t xml:space="preserve"> </w:t>
      </w:r>
      <w:r>
        <w:rPr>
          <w:lang w:val="en-US"/>
        </w:rPr>
        <w:t>Present address</w:t>
      </w:r>
      <w:r w:rsidRPr="00894B5F">
        <w:rPr>
          <w:lang w:val="en-US"/>
        </w:rPr>
        <w:t>: University of Plymouth, Drake Circus, Plymouth PL4 8AA, UK</w:t>
      </w:r>
      <w:r>
        <w:rPr>
          <w:lang w:val="en-US"/>
        </w:rPr>
        <w:t>.</w:t>
      </w:r>
    </w:p>
  </w:footnote>
  <w:footnote w:id="4">
    <w:p w:rsidR="00A0531B" w:rsidRPr="00154296" w:rsidRDefault="00A0531B">
      <w:pPr>
        <w:pStyle w:val="FootnoteText"/>
        <w:rPr>
          <w:lang w:val="en-GB"/>
        </w:rPr>
      </w:pPr>
      <w:r>
        <w:rPr>
          <w:rStyle w:val="FootnoteReference"/>
        </w:rPr>
        <w:footnoteRef/>
      </w:r>
      <w:r>
        <w:t xml:space="preserve"> </w:t>
      </w:r>
      <w:r w:rsidRPr="00154296">
        <w:rPr>
          <w:lang w:val="en-GB"/>
        </w:rPr>
        <w:t>Present address: University of Exeter, College of Life and Environmental Sciences, Geoffrey Pope, Exeter, EX4 4QD, United Kingdom.</w:t>
      </w:r>
    </w:p>
  </w:footnote>
  <w:footnote w:id="5">
    <w:p w:rsidR="00A0531B" w:rsidRPr="009827F2" w:rsidRDefault="00A0531B" w:rsidP="00280083">
      <w:pPr>
        <w:pStyle w:val="FootnoteText"/>
        <w:rPr>
          <w:lang w:val="en-US"/>
        </w:rPr>
      </w:pPr>
      <w:r>
        <w:rPr>
          <w:rStyle w:val="FootnoteReference"/>
        </w:rPr>
        <w:footnoteRef/>
      </w:r>
      <w:r>
        <w:t xml:space="preserve"> </w:t>
      </w:r>
      <w:r>
        <w:rPr>
          <w:lang w:val="en-US"/>
        </w:rPr>
        <w:t>Present address</w:t>
      </w:r>
      <w:r w:rsidRPr="00894B5F">
        <w:rPr>
          <w:lang w:val="en-US"/>
        </w:rPr>
        <w:t>:</w:t>
      </w:r>
      <w:r w:rsidRPr="009827F2">
        <w:t xml:space="preserve"> </w:t>
      </w:r>
      <w:r w:rsidRPr="009827F2">
        <w:rPr>
          <w:lang w:val="en-US"/>
        </w:rPr>
        <w:t>Dr. Knoell Consult</w:t>
      </w:r>
      <w:r>
        <w:rPr>
          <w:lang w:val="en-US"/>
        </w:rPr>
        <w:t xml:space="preserve"> </w:t>
      </w:r>
      <w:r w:rsidRPr="009827F2">
        <w:rPr>
          <w:lang w:val="en-US"/>
        </w:rPr>
        <w:t>GmbH</w:t>
      </w:r>
      <w:r>
        <w:rPr>
          <w:lang w:val="en-US"/>
        </w:rPr>
        <w:t xml:space="preserve">, </w:t>
      </w:r>
      <w:r w:rsidRPr="009827F2">
        <w:rPr>
          <w:lang w:val="en-US"/>
        </w:rPr>
        <w:t>Dynamostr</w:t>
      </w:r>
      <w:r>
        <w:rPr>
          <w:lang w:val="en-US"/>
        </w:rPr>
        <w:t xml:space="preserve">. 19, 68165 Mannheim, </w:t>
      </w:r>
      <w:r w:rsidRPr="009827F2">
        <w:rPr>
          <w:lang w:val="en-US"/>
        </w:rPr>
        <w:t>Germany</w:t>
      </w:r>
      <w:r>
        <w:rPr>
          <w:lang w:val="en-US"/>
        </w:rPr>
        <w:t>.</w:t>
      </w:r>
    </w:p>
  </w:footnote>
  <w:footnote w:id="6">
    <w:p w:rsidR="00A0531B" w:rsidRPr="00154296" w:rsidRDefault="00A0531B" w:rsidP="00154296">
      <w:pPr>
        <w:pStyle w:val="FootnoteText"/>
        <w:rPr>
          <w:lang w:val="en-GB"/>
        </w:rPr>
      </w:pPr>
      <w:r>
        <w:rPr>
          <w:rStyle w:val="FootnoteReference"/>
        </w:rPr>
        <w:footnoteRef/>
      </w:r>
      <w:r>
        <w:t xml:space="preserve"> </w:t>
      </w:r>
      <w:r w:rsidRPr="00154296">
        <w:rPr>
          <w:lang w:val="en-GB"/>
        </w:rPr>
        <w:t>Present address: A. Schulman Plastics BVBA</w:t>
      </w:r>
      <w:r>
        <w:rPr>
          <w:lang w:val="en-GB"/>
        </w:rPr>
        <w:t xml:space="preserve">, </w:t>
      </w:r>
      <w:r w:rsidRPr="00154296">
        <w:rPr>
          <w:lang w:val="en-GB"/>
        </w:rPr>
        <w:t>Pedro Colomalaan 25</w:t>
      </w:r>
      <w:r>
        <w:rPr>
          <w:lang w:val="en-GB"/>
        </w:rPr>
        <w:t xml:space="preserve">, </w:t>
      </w:r>
      <w:r w:rsidRPr="00154296">
        <w:rPr>
          <w:lang w:val="en-GB"/>
        </w:rPr>
        <w:t>Industriepark</w:t>
      </w:r>
      <w:r>
        <w:rPr>
          <w:lang w:val="en-GB"/>
        </w:rPr>
        <w:t xml:space="preserve">, </w:t>
      </w:r>
      <w:r w:rsidRPr="00154296">
        <w:rPr>
          <w:lang w:val="en-GB"/>
        </w:rPr>
        <w:t>2880 Bornem</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1B" w:rsidRDefault="00A0531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C001F"/>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077414"/>
    <w:multiLevelType w:val="multilevel"/>
    <w:tmpl w:val="13DAE8F2"/>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241247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F54A9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AD512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6A06C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0B013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9A68DC"/>
    <w:multiLevelType w:val="multilevel"/>
    <w:tmpl w:val="F7B0A8F2"/>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0FA84E5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59263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C30E90"/>
    <w:multiLevelType w:val="hybridMultilevel"/>
    <w:tmpl w:val="D890A28E"/>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833EA9"/>
    <w:multiLevelType w:val="multilevel"/>
    <w:tmpl w:val="6CE64DD8"/>
    <w:lvl w:ilvl="0">
      <w:start w:val="4"/>
      <w:numFmt w:val="decimal"/>
      <w:lvlText w:val="%1"/>
      <w:lvlJc w:val="left"/>
      <w:pPr>
        <w:ind w:left="360" w:hanging="360"/>
      </w:pPr>
      <w:rPr>
        <w:rFonts w:hint="default"/>
      </w:rPr>
    </w:lvl>
    <w:lvl w:ilvl="1">
      <w:start w:val="1"/>
      <w:numFmt w:val="decimal"/>
      <w:lvlText w:val="%1.%2"/>
      <w:lvlJc w:val="left"/>
      <w:pPr>
        <w:ind w:left="2500" w:hanging="360"/>
      </w:pPr>
      <w:rPr>
        <w:rFonts w:hint="default"/>
      </w:rPr>
    </w:lvl>
    <w:lvl w:ilvl="2">
      <w:start w:val="1"/>
      <w:numFmt w:val="decimal"/>
      <w:lvlText w:val="%1.%2.%3"/>
      <w:lvlJc w:val="left"/>
      <w:pPr>
        <w:ind w:left="5000" w:hanging="720"/>
      </w:pPr>
      <w:rPr>
        <w:rFonts w:hint="default"/>
      </w:rPr>
    </w:lvl>
    <w:lvl w:ilvl="3">
      <w:start w:val="1"/>
      <w:numFmt w:val="decimal"/>
      <w:lvlText w:val="%1.%2.%3.%4"/>
      <w:lvlJc w:val="left"/>
      <w:pPr>
        <w:ind w:left="7140" w:hanging="720"/>
      </w:pPr>
      <w:rPr>
        <w:rFonts w:hint="default"/>
      </w:rPr>
    </w:lvl>
    <w:lvl w:ilvl="4">
      <w:start w:val="1"/>
      <w:numFmt w:val="decimal"/>
      <w:lvlText w:val="%1.%2.%3.%4.%5"/>
      <w:lvlJc w:val="left"/>
      <w:pPr>
        <w:ind w:left="9640" w:hanging="1080"/>
      </w:pPr>
      <w:rPr>
        <w:rFonts w:hint="default"/>
      </w:rPr>
    </w:lvl>
    <w:lvl w:ilvl="5">
      <w:start w:val="1"/>
      <w:numFmt w:val="decimal"/>
      <w:lvlText w:val="%1.%2.%3.%4.%5.%6"/>
      <w:lvlJc w:val="left"/>
      <w:pPr>
        <w:ind w:left="11780" w:hanging="1080"/>
      </w:pPr>
      <w:rPr>
        <w:rFonts w:hint="default"/>
      </w:rPr>
    </w:lvl>
    <w:lvl w:ilvl="6">
      <w:start w:val="1"/>
      <w:numFmt w:val="decimal"/>
      <w:lvlText w:val="%1.%2.%3.%4.%5.%6.%7"/>
      <w:lvlJc w:val="left"/>
      <w:pPr>
        <w:ind w:left="14280" w:hanging="1440"/>
      </w:pPr>
      <w:rPr>
        <w:rFonts w:hint="default"/>
      </w:rPr>
    </w:lvl>
    <w:lvl w:ilvl="7">
      <w:start w:val="1"/>
      <w:numFmt w:val="decimal"/>
      <w:lvlText w:val="%1.%2.%3.%4.%5.%6.%7.%8"/>
      <w:lvlJc w:val="left"/>
      <w:pPr>
        <w:ind w:left="16420" w:hanging="1440"/>
      </w:pPr>
      <w:rPr>
        <w:rFonts w:hint="default"/>
      </w:rPr>
    </w:lvl>
    <w:lvl w:ilvl="8">
      <w:start w:val="1"/>
      <w:numFmt w:val="decimal"/>
      <w:lvlText w:val="%1.%2.%3.%4.%5.%6.%7.%8.%9"/>
      <w:lvlJc w:val="left"/>
      <w:pPr>
        <w:ind w:left="18920" w:hanging="1800"/>
      </w:pPr>
      <w:rPr>
        <w:rFonts w:hint="default"/>
      </w:rPr>
    </w:lvl>
  </w:abstractNum>
  <w:abstractNum w:abstractNumId="12">
    <w:nsid w:val="14693716"/>
    <w:multiLevelType w:val="multilevel"/>
    <w:tmpl w:val="A7A616A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C34C8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827813"/>
    <w:multiLevelType w:val="hybridMultilevel"/>
    <w:tmpl w:val="AC6AC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51F51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2D18B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99434D"/>
    <w:multiLevelType w:val="hybridMultilevel"/>
    <w:tmpl w:val="5A8639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C091CD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9D7544"/>
    <w:multiLevelType w:val="multilevel"/>
    <w:tmpl w:val="13DAE8F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34A84065"/>
    <w:multiLevelType w:val="multilevel"/>
    <w:tmpl w:val="13DAE8F2"/>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36854B3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225D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A3567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D57AA7"/>
    <w:multiLevelType w:val="multilevel"/>
    <w:tmpl w:val="54DA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F42F8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254194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FE2132"/>
    <w:multiLevelType w:val="multilevel"/>
    <w:tmpl w:val="BD947C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333155F"/>
    <w:multiLevelType w:val="multilevel"/>
    <w:tmpl w:val="97E22E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lvlText w:val="%7."/>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37A3BB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4655C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B76243"/>
    <w:multiLevelType w:val="multilevel"/>
    <w:tmpl w:val="13DAE8F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57C4418C"/>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D457C51"/>
    <w:multiLevelType w:val="multilevel"/>
    <w:tmpl w:val="13DAE8F2"/>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609C01D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3F575D5"/>
    <w:multiLevelType w:val="multilevel"/>
    <w:tmpl w:val="97E22E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lvlText w:val="%7."/>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68CA5D4F"/>
    <w:multiLevelType w:val="hybridMultilevel"/>
    <w:tmpl w:val="BBBE0E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97041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A2B3E5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3B6773"/>
    <w:multiLevelType w:val="multilevel"/>
    <w:tmpl w:val="BD947C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CD023E0"/>
    <w:multiLevelType w:val="hybridMultilevel"/>
    <w:tmpl w:val="900C93E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nsid w:val="6E08673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1744392"/>
    <w:multiLevelType w:val="hybridMultilevel"/>
    <w:tmpl w:val="17D6B8C6"/>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cs="Courier New" w:hint="default"/>
      </w:rPr>
    </w:lvl>
    <w:lvl w:ilvl="2" w:tplc="08090005">
      <w:start w:val="1"/>
      <w:numFmt w:val="bullet"/>
      <w:lvlText w:val=""/>
      <w:lvlJc w:val="left"/>
      <w:pPr>
        <w:ind w:left="2209" w:hanging="360"/>
      </w:pPr>
      <w:rPr>
        <w:rFonts w:ascii="Wingdings" w:hAnsi="Wingdings" w:hint="default"/>
      </w:rPr>
    </w:lvl>
    <w:lvl w:ilvl="3" w:tplc="08090001">
      <w:start w:val="1"/>
      <w:numFmt w:val="bullet"/>
      <w:lvlText w:val=""/>
      <w:lvlJc w:val="left"/>
      <w:pPr>
        <w:ind w:left="2929" w:hanging="360"/>
      </w:pPr>
      <w:rPr>
        <w:rFonts w:ascii="Symbol" w:hAnsi="Symbol" w:hint="default"/>
      </w:rPr>
    </w:lvl>
    <w:lvl w:ilvl="4" w:tplc="08090003">
      <w:start w:val="1"/>
      <w:numFmt w:val="bullet"/>
      <w:lvlText w:val="o"/>
      <w:lvlJc w:val="left"/>
      <w:pPr>
        <w:ind w:left="3649" w:hanging="360"/>
      </w:pPr>
      <w:rPr>
        <w:rFonts w:ascii="Courier New" w:hAnsi="Courier New" w:cs="Courier New" w:hint="default"/>
      </w:rPr>
    </w:lvl>
    <w:lvl w:ilvl="5" w:tplc="08090005">
      <w:start w:val="1"/>
      <w:numFmt w:val="bullet"/>
      <w:lvlText w:val=""/>
      <w:lvlJc w:val="left"/>
      <w:pPr>
        <w:ind w:left="4369" w:hanging="360"/>
      </w:pPr>
      <w:rPr>
        <w:rFonts w:ascii="Wingdings" w:hAnsi="Wingdings" w:hint="default"/>
      </w:rPr>
    </w:lvl>
    <w:lvl w:ilvl="6" w:tplc="08090001">
      <w:start w:val="1"/>
      <w:numFmt w:val="bullet"/>
      <w:lvlText w:val=""/>
      <w:lvlJc w:val="left"/>
      <w:pPr>
        <w:ind w:left="5089" w:hanging="360"/>
      </w:pPr>
      <w:rPr>
        <w:rFonts w:ascii="Symbol" w:hAnsi="Symbol" w:hint="default"/>
      </w:rPr>
    </w:lvl>
    <w:lvl w:ilvl="7" w:tplc="08090003">
      <w:start w:val="1"/>
      <w:numFmt w:val="bullet"/>
      <w:lvlText w:val="o"/>
      <w:lvlJc w:val="left"/>
      <w:pPr>
        <w:ind w:left="5809" w:hanging="360"/>
      </w:pPr>
      <w:rPr>
        <w:rFonts w:ascii="Courier New" w:hAnsi="Courier New" w:cs="Courier New" w:hint="default"/>
      </w:rPr>
    </w:lvl>
    <w:lvl w:ilvl="8" w:tplc="08090005">
      <w:start w:val="1"/>
      <w:numFmt w:val="bullet"/>
      <w:lvlText w:val=""/>
      <w:lvlJc w:val="left"/>
      <w:pPr>
        <w:ind w:left="6529" w:hanging="360"/>
      </w:pPr>
      <w:rPr>
        <w:rFonts w:ascii="Wingdings" w:hAnsi="Wingdings" w:hint="default"/>
      </w:rPr>
    </w:lvl>
  </w:abstractNum>
  <w:abstractNum w:abstractNumId="43">
    <w:nsid w:val="742457A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9FA398B"/>
    <w:multiLevelType w:val="hybridMultilevel"/>
    <w:tmpl w:val="97424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EA25B67"/>
    <w:multiLevelType w:val="hybridMultilevel"/>
    <w:tmpl w:val="B31CA58E"/>
    <w:lvl w:ilvl="0" w:tplc="A55AE09A">
      <w:start w:val="1"/>
      <w:numFmt w:val="bullet"/>
      <w:lvlText w:val=""/>
      <w:lvlJc w:val="left"/>
      <w:pPr>
        <w:tabs>
          <w:tab w:val="num" w:pos="720"/>
        </w:tabs>
        <w:ind w:left="720" w:hanging="360"/>
      </w:pPr>
      <w:rPr>
        <w:rFonts w:ascii="Wingdings" w:hAnsi="Wingdings" w:hint="default"/>
      </w:rPr>
    </w:lvl>
    <w:lvl w:ilvl="1" w:tplc="068C8432" w:tentative="1">
      <w:start w:val="1"/>
      <w:numFmt w:val="bullet"/>
      <w:lvlText w:val=""/>
      <w:lvlJc w:val="left"/>
      <w:pPr>
        <w:tabs>
          <w:tab w:val="num" w:pos="1440"/>
        </w:tabs>
        <w:ind w:left="1440" w:hanging="360"/>
      </w:pPr>
      <w:rPr>
        <w:rFonts w:ascii="Wingdings" w:hAnsi="Wingdings" w:hint="default"/>
      </w:rPr>
    </w:lvl>
    <w:lvl w:ilvl="2" w:tplc="1AA48444" w:tentative="1">
      <w:start w:val="1"/>
      <w:numFmt w:val="bullet"/>
      <w:lvlText w:val=""/>
      <w:lvlJc w:val="left"/>
      <w:pPr>
        <w:tabs>
          <w:tab w:val="num" w:pos="2160"/>
        </w:tabs>
        <w:ind w:left="2160" w:hanging="360"/>
      </w:pPr>
      <w:rPr>
        <w:rFonts w:ascii="Wingdings" w:hAnsi="Wingdings" w:hint="default"/>
      </w:rPr>
    </w:lvl>
    <w:lvl w:ilvl="3" w:tplc="B0FC2912" w:tentative="1">
      <w:start w:val="1"/>
      <w:numFmt w:val="bullet"/>
      <w:lvlText w:val=""/>
      <w:lvlJc w:val="left"/>
      <w:pPr>
        <w:tabs>
          <w:tab w:val="num" w:pos="2880"/>
        </w:tabs>
        <w:ind w:left="2880" w:hanging="360"/>
      </w:pPr>
      <w:rPr>
        <w:rFonts w:ascii="Wingdings" w:hAnsi="Wingdings" w:hint="default"/>
      </w:rPr>
    </w:lvl>
    <w:lvl w:ilvl="4" w:tplc="DF6A9EA2" w:tentative="1">
      <w:start w:val="1"/>
      <w:numFmt w:val="bullet"/>
      <w:lvlText w:val=""/>
      <w:lvlJc w:val="left"/>
      <w:pPr>
        <w:tabs>
          <w:tab w:val="num" w:pos="3600"/>
        </w:tabs>
        <w:ind w:left="3600" w:hanging="360"/>
      </w:pPr>
      <w:rPr>
        <w:rFonts w:ascii="Wingdings" w:hAnsi="Wingdings" w:hint="default"/>
      </w:rPr>
    </w:lvl>
    <w:lvl w:ilvl="5" w:tplc="44D87800" w:tentative="1">
      <w:start w:val="1"/>
      <w:numFmt w:val="bullet"/>
      <w:lvlText w:val=""/>
      <w:lvlJc w:val="left"/>
      <w:pPr>
        <w:tabs>
          <w:tab w:val="num" w:pos="4320"/>
        </w:tabs>
        <w:ind w:left="4320" w:hanging="360"/>
      </w:pPr>
      <w:rPr>
        <w:rFonts w:ascii="Wingdings" w:hAnsi="Wingdings" w:hint="default"/>
      </w:rPr>
    </w:lvl>
    <w:lvl w:ilvl="6" w:tplc="0D5CCF52" w:tentative="1">
      <w:start w:val="1"/>
      <w:numFmt w:val="bullet"/>
      <w:lvlText w:val=""/>
      <w:lvlJc w:val="left"/>
      <w:pPr>
        <w:tabs>
          <w:tab w:val="num" w:pos="5040"/>
        </w:tabs>
        <w:ind w:left="5040" w:hanging="360"/>
      </w:pPr>
      <w:rPr>
        <w:rFonts w:ascii="Wingdings" w:hAnsi="Wingdings" w:hint="default"/>
      </w:rPr>
    </w:lvl>
    <w:lvl w:ilvl="7" w:tplc="23586A12" w:tentative="1">
      <w:start w:val="1"/>
      <w:numFmt w:val="bullet"/>
      <w:lvlText w:val=""/>
      <w:lvlJc w:val="left"/>
      <w:pPr>
        <w:tabs>
          <w:tab w:val="num" w:pos="5760"/>
        </w:tabs>
        <w:ind w:left="5760" w:hanging="360"/>
      </w:pPr>
      <w:rPr>
        <w:rFonts w:ascii="Wingdings" w:hAnsi="Wingdings" w:hint="default"/>
      </w:rPr>
    </w:lvl>
    <w:lvl w:ilvl="8" w:tplc="D65AB63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5"/>
  </w:num>
  <w:num w:numId="3">
    <w:abstractNumId w:val="44"/>
  </w:num>
  <w:num w:numId="4">
    <w:abstractNumId w:val="35"/>
  </w:num>
  <w:num w:numId="5">
    <w:abstractNumId w:val="28"/>
  </w:num>
  <w:num w:numId="6">
    <w:abstractNumId w:val="6"/>
  </w:num>
  <w:num w:numId="7">
    <w:abstractNumId w:val="12"/>
  </w:num>
  <w:num w:numId="8">
    <w:abstractNumId w:val="21"/>
  </w:num>
  <w:num w:numId="9">
    <w:abstractNumId w:val="38"/>
  </w:num>
  <w:num w:numId="10">
    <w:abstractNumId w:val="41"/>
  </w:num>
  <w:num w:numId="11">
    <w:abstractNumId w:val="34"/>
  </w:num>
  <w:num w:numId="12">
    <w:abstractNumId w:val="9"/>
  </w:num>
  <w:num w:numId="13">
    <w:abstractNumId w:val="2"/>
  </w:num>
  <w:num w:numId="14">
    <w:abstractNumId w:val="29"/>
  </w:num>
  <w:num w:numId="15">
    <w:abstractNumId w:val="3"/>
  </w:num>
  <w:num w:numId="16">
    <w:abstractNumId w:val="32"/>
  </w:num>
  <w:num w:numId="17">
    <w:abstractNumId w:val="26"/>
  </w:num>
  <w:num w:numId="18">
    <w:abstractNumId w:val="22"/>
  </w:num>
  <w:num w:numId="19">
    <w:abstractNumId w:val="16"/>
  </w:num>
  <w:num w:numId="20">
    <w:abstractNumId w:val="17"/>
  </w:num>
  <w:num w:numId="21">
    <w:abstractNumId w:val="18"/>
  </w:num>
  <w:num w:numId="22">
    <w:abstractNumId w:val="14"/>
  </w:num>
  <w:num w:numId="23">
    <w:abstractNumId w:val="37"/>
  </w:num>
  <w:num w:numId="24">
    <w:abstractNumId w:val="30"/>
  </w:num>
  <w:num w:numId="25">
    <w:abstractNumId w:val="15"/>
  </w:num>
  <w:num w:numId="26">
    <w:abstractNumId w:val="40"/>
  </w:num>
  <w:num w:numId="27">
    <w:abstractNumId w:val="43"/>
  </w:num>
  <w:num w:numId="28">
    <w:abstractNumId w:val="39"/>
  </w:num>
  <w:num w:numId="29">
    <w:abstractNumId w:val="13"/>
  </w:num>
  <w:num w:numId="30">
    <w:abstractNumId w:val="23"/>
  </w:num>
  <w:num w:numId="31">
    <w:abstractNumId w:val="4"/>
  </w:num>
  <w:num w:numId="32">
    <w:abstractNumId w:val="5"/>
  </w:num>
  <w:num w:numId="33">
    <w:abstractNumId w:val="27"/>
  </w:num>
  <w:num w:numId="34">
    <w:abstractNumId w:val="25"/>
  </w:num>
  <w:num w:numId="35">
    <w:abstractNumId w:val="19"/>
  </w:num>
  <w:num w:numId="36">
    <w:abstractNumId w:val="36"/>
  </w:num>
  <w:num w:numId="37">
    <w:abstractNumId w:val="8"/>
  </w:num>
  <w:num w:numId="38">
    <w:abstractNumId w:val="33"/>
  </w:num>
  <w:num w:numId="39">
    <w:abstractNumId w:val="20"/>
  </w:num>
  <w:num w:numId="40">
    <w:abstractNumId w:val="1"/>
  </w:num>
  <w:num w:numId="41">
    <w:abstractNumId w:val="31"/>
  </w:num>
  <w:num w:numId="42">
    <w:abstractNumId w:val="24"/>
  </w:num>
  <w:num w:numId="43">
    <w:abstractNumId w:val="10"/>
  </w:num>
  <w:num w:numId="44">
    <w:abstractNumId w:val="11"/>
  </w:num>
  <w:num w:numId="45">
    <w:abstractNumId w:val="7"/>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gul Toxicol Pharmacol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786&lt;/item&gt;&lt;/record-ids&gt;&lt;/item&gt;&lt;/Libraries&gt;"/>
  </w:docVars>
  <w:rsids>
    <w:rsidRoot w:val="009951C6"/>
    <w:rsid w:val="00011BFC"/>
    <w:rsid w:val="00016BEF"/>
    <w:rsid w:val="00033871"/>
    <w:rsid w:val="00035C48"/>
    <w:rsid w:val="00043E85"/>
    <w:rsid w:val="00050B4E"/>
    <w:rsid w:val="0008204C"/>
    <w:rsid w:val="000962C6"/>
    <w:rsid w:val="000F66AB"/>
    <w:rsid w:val="00112905"/>
    <w:rsid w:val="00135524"/>
    <w:rsid w:val="001356F5"/>
    <w:rsid w:val="00154296"/>
    <w:rsid w:val="001945DE"/>
    <w:rsid w:val="001977D3"/>
    <w:rsid w:val="001A0166"/>
    <w:rsid w:val="001A5DC3"/>
    <w:rsid w:val="001C09F8"/>
    <w:rsid w:val="001C6E7E"/>
    <w:rsid w:val="001E4DB6"/>
    <w:rsid w:val="001F3DEC"/>
    <w:rsid w:val="0021631E"/>
    <w:rsid w:val="00250E9E"/>
    <w:rsid w:val="00271E27"/>
    <w:rsid w:val="00275CE2"/>
    <w:rsid w:val="00280083"/>
    <w:rsid w:val="002A2D9A"/>
    <w:rsid w:val="002A7BAC"/>
    <w:rsid w:val="002C3E50"/>
    <w:rsid w:val="00301F09"/>
    <w:rsid w:val="003360C8"/>
    <w:rsid w:val="00397172"/>
    <w:rsid w:val="003B14C0"/>
    <w:rsid w:val="003C7CBF"/>
    <w:rsid w:val="003D0C98"/>
    <w:rsid w:val="003D0CC9"/>
    <w:rsid w:val="003F295B"/>
    <w:rsid w:val="004046D8"/>
    <w:rsid w:val="00414D0C"/>
    <w:rsid w:val="0042127D"/>
    <w:rsid w:val="004259BB"/>
    <w:rsid w:val="00426C21"/>
    <w:rsid w:val="00436AEF"/>
    <w:rsid w:val="00441CE0"/>
    <w:rsid w:val="00445094"/>
    <w:rsid w:val="004611F7"/>
    <w:rsid w:val="004821F8"/>
    <w:rsid w:val="004B1E83"/>
    <w:rsid w:val="004B4AB2"/>
    <w:rsid w:val="004D5BA4"/>
    <w:rsid w:val="004F14FC"/>
    <w:rsid w:val="004F6402"/>
    <w:rsid w:val="00510DB1"/>
    <w:rsid w:val="00513AD7"/>
    <w:rsid w:val="00524751"/>
    <w:rsid w:val="0053578C"/>
    <w:rsid w:val="005441F3"/>
    <w:rsid w:val="00546C0F"/>
    <w:rsid w:val="00547634"/>
    <w:rsid w:val="00575D08"/>
    <w:rsid w:val="00586359"/>
    <w:rsid w:val="005A25D3"/>
    <w:rsid w:val="005A4945"/>
    <w:rsid w:val="005A6649"/>
    <w:rsid w:val="005C158E"/>
    <w:rsid w:val="0061433F"/>
    <w:rsid w:val="00617274"/>
    <w:rsid w:val="0061762A"/>
    <w:rsid w:val="006466B4"/>
    <w:rsid w:val="0066313D"/>
    <w:rsid w:val="00667875"/>
    <w:rsid w:val="006D16B4"/>
    <w:rsid w:val="006E2B28"/>
    <w:rsid w:val="006E5560"/>
    <w:rsid w:val="007244C6"/>
    <w:rsid w:val="00725003"/>
    <w:rsid w:val="00726A23"/>
    <w:rsid w:val="00727B57"/>
    <w:rsid w:val="00733154"/>
    <w:rsid w:val="0074789E"/>
    <w:rsid w:val="007526B3"/>
    <w:rsid w:val="00794E5B"/>
    <w:rsid w:val="007975CF"/>
    <w:rsid w:val="0079780E"/>
    <w:rsid w:val="007F191A"/>
    <w:rsid w:val="00830167"/>
    <w:rsid w:val="00831C33"/>
    <w:rsid w:val="0083231D"/>
    <w:rsid w:val="00850F5D"/>
    <w:rsid w:val="00854E3F"/>
    <w:rsid w:val="008578CB"/>
    <w:rsid w:val="008B0F83"/>
    <w:rsid w:val="008C4217"/>
    <w:rsid w:val="008E71D2"/>
    <w:rsid w:val="008E7A58"/>
    <w:rsid w:val="008F1170"/>
    <w:rsid w:val="009025A8"/>
    <w:rsid w:val="00921F8A"/>
    <w:rsid w:val="00935C16"/>
    <w:rsid w:val="00936442"/>
    <w:rsid w:val="00951F3B"/>
    <w:rsid w:val="00973723"/>
    <w:rsid w:val="009951C6"/>
    <w:rsid w:val="009A0F8D"/>
    <w:rsid w:val="00A0531B"/>
    <w:rsid w:val="00A13710"/>
    <w:rsid w:val="00A25FD1"/>
    <w:rsid w:val="00A761D6"/>
    <w:rsid w:val="00A82A30"/>
    <w:rsid w:val="00A920FF"/>
    <w:rsid w:val="00A9508E"/>
    <w:rsid w:val="00AB320E"/>
    <w:rsid w:val="00AC30B4"/>
    <w:rsid w:val="00AC4A4C"/>
    <w:rsid w:val="00AF2699"/>
    <w:rsid w:val="00B03321"/>
    <w:rsid w:val="00B21D67"/>
    <w:rsid w:val="00B3630B"/>
    <w:rsid w:val="00B5556E"/>
    <w:rsid w:val="00B61A3A"/>
    <w:rsid w:val="00B63A18"/>
    <w:rsid w:val="00B67653"/>
    <w:rsid w:val="00B8785B"/>
    <w:rsid w:val="00BA3CDA"/>
    <w:rsid w:val="00BD21E7"/>
    <w:rsid w:val="00BE5CB4"/>
    <w:rsid w:val="00C01577"/>
    <w:rsid w:val="00C2056A"/>
    <w:rsid w:val="00C2275C"/>
    <w:rsid w:val="00C3649E"/>
    <w:rsid w:val="00C6507A"/>
    <w:rsid w:val="00C94B42"/>
    <w:rsid w:val="00CB737A"/>
    <w:rsid w:val="00CC4131"/>
    <w:rsid w:val="00CD4DD1"/>
    <w:rsid w:val="00CD5ABF"/>
    <w:rsid w:val="00CF5450"/>
    <w:rsid w:val="00D152F8"/>
    <w:rsid w:val="00D5487F"/>
    <w:rsid w:val="00D629C7"/>
    <w:rsid w:val="00D80FFF"/>
    <w:rsid w:val="00DB3819"/>
    <w:rsid w:val="00DB6436"/>
    <w:rsid w:val="00DC4133"/>
    <w:rsid w:val="00DD2DF2"/>
    <w:rsid w:val="00DF3885"/>
    <w:rsid w:val="00E14372"/>
    <w:rsid w:val="00E25DFB"/>
    <w:rsid w:val="00E378A6"/>
    <w:rsid w:val="00E45D7E"/>
    <w:rsid w:val="00E97F0F"/>
    <w:rsid w:val="00EB254C"/>
    <w:rsid w:val="00EC0340"/>
    <w:rsid w:val="00EC1FB2"/>
    <w:rsid w:val="00ED7526"/>
    <w:rsid w:val="00EE065A"/>
    <w:rsid w:val="00EE1E4A"/>
    <w:rsid w:val="00F24206"/>
    <w:rsid w:val="00F53839"/>
    <w:rsid w:val="00F62284"/>
    <w:rsid w:val="00F71B5F"/>
    <w:rsid w:val="00FB3527"/>
    <w:rsid w:val="00FB7EE0"/>
    <w:rsid w:val="00FC71E9"/>
    <w:rsid w:val="00FD72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Simple 1"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C6"/>
    <w:pPr>
      <w:suppressAutoHyphens/>
      <w:spacing w:after="0" w:line="240" w:lineRule="auto"/>
    </w:pPr>
    <w:rPr>
      <w:rFonts w:ascii="Times New Roman" w:eastAsia="Times New Roman" w:hAnsi="Times New Roman" w:cs="Times New Roman"/>
      <w:sz w:val="24"/>
      <w:szCs w:val="24"/>
      <w:lang w:val="fr-FR" w:eastAsia="ar-SA"/>
    </w:rPr>
  </w:style>
  <w:style w:type="paragraph" w:styleId="Heading1">
    <w:name w:val="heading 1"/>
    <w:basedOn w:val="Heading2"/>
    <w:next w:val="Normal"/>
    <w:link w:val="Heading1Char"/>
    <w:qFormat/>
    <w:rsid w:val="009951C6"/>
    <w:pPr>
      <w:pageBreakBefore/>
      <w:numPr>
        <w:ilvl w:val="0"/>
        <w:numId w:val="7"/>
      </w:numPr>
      <w:spacing w:line="480" w:lineRule="auto"/>
      <w:jc w:val="both"/>
      <w:outlineLvl w:val="0"/>
    </w:pPr>
    <w:rPr>
      <w:lang w:val="en-US"/>
    </w:rPr>
  </w:style>
  <w:style w:type="paragraph" w:styleId="Heading2">
    <w:name w:val="heading 2"/>
    <w:basedOn w:val="Normal"/>
    <w:next w:val="Normal"/>
    <w:link w:val="Heading2Char"/>
    <w:qFormat/>
    <w:rsid w:val="009951C6"/>
    <w:pPr>
      <w:keepNext/>
      <w:numPr>
        <w:ilvl w:val="1"/>
        <w:numId w:val="1"/>
      </w:numPr>
      <w:outlineLvl w:val="1"/>
    </w:pPr>
    <w:rPr>
      <w:b/>
      <w:bCs/>
    </w:rPr>
  </w:style>
  <w:style w:type="paragraph" w:styleId="Heading3">
    <w:name w:val="heading 3"/>
    <w:basedOn w:val="Normal"/>
    <w:next w:val="Normal"/>
    <w:link w:val="Heading3Char"/>
    <w:qFormat/>
    <w:rsid w:val="009951C6"/>
    <w:pPr>
      <w:keepNext/>
      <w:numPr>
        <w:ilvl w:val="2"/>
        <w:numId w:val="1"/>
      </w:numPr>
      <w:outlineLvl w:val="2"/>
    </w:pPr>
    <w:rPr>
      <w:i/>
      <w:iCs/>
    </w:rPr>
  </w:style>
  <w:style w:type="paragraph" w:styleId="Heading4">
    <w:name w:val="heading 4"/>
    <w:basedOn w:val="Normal"/>
    <w:next w:val="Normal"/>
    <w:link w:val="Heading4Char"/>
    <w:qFormat/>
    <w:rsid w:val="009951C6"/>
    <w:pPr>
      <w:keepNext/>
      <w:numPr>
        <w:ilvl w:val="3"/>
        <w:numId w:val="1"/>
      </w:numPr>
      <w:spacing w:line="360" w:lineRule="auto"/>
      <w:jc w:val="both"/>
      <w:outlineLvl w:val="3"/>
    </w:pPr>
    <w:rPr>
      <w:i/>
      <w:iCs/>
      <w:lang w:val="en-GB"/>
    </w:rPr>
  </w:style>
  <w:style w:type="paragraph" w:styleId="Heading5">
    <w:name w:val="heading 5"/>
    <w:basedOn w:val="Normal"/>
    <w:next w:val="Normal"/>
    <w:link w:val="Heading5Char"/>
    <w:qFormat/>
    <w:rsid w:val="009951C6"/>
    <w:pPr>
      <w:keepNext/>
      <w:numPr>
        <w:ilvl w:val="4"/>
        <w:numId w:val="1"/>
      </w:numPr>
      <w:spacing w:line="480" w:lineRule="auto"/>
      <w:jc w:val="center"/>
      <w:outlineLvl w:val="4"/>
    </w:pPr>
    <w:rPr>
      <w:i/>
      <w:iCs/>
      <w:lang w:val="en-GB"/>
    </w:rPr>
  </w:style>
  <w:style w:type="paragraph" w:styleId="Heading6">
    <w:name w:val="heading 6"/>
    <w:basedOn w:val="Normal"/>
    <w:next w:val="Normal"/>
    <w:link w:val="Heading6Char"/>
    <w:qFormat/>
    <w:rsid w:val="009951C6"/>
    <w:pPr>
      <w:keepNext/>
      <w:numPr>
        <w:ilvl w:val="5"/>
        <w:numId w:val="1"/>
      </w:numPr>
      <w:spacing w:line="480" w:lineRule="auto"/>
      <w:jc w:val="both"/>
      <w:outlineLvl w:val="5"/>
    </w:pPr>
    <w:rPr>
      <w:b/>
      <w:bCs/>
      <w:lang w:val="de-DE"/>
    </w:rPr>
  </w:style>
  <w:style w:type="paragraph" w:styleId="Heading7">
    <w:name w:val="heading 7"/>
    <w:basedOn w:val="Normal"/>
    <w:next w:val="Normal"/>
    <w:link w:val="Heading7Char"/>
    <w:qFormat/>
    <w:rsid w:val="009951C6"/>
    <w:pPr>
      <w:keepNext/>
      <w:numPr>
        <w:ilvl w:val="6"/>
        <w:numId w:val="1"/>
      </w:numPr>
      <w:spacing w:line="480" w:lineRule="auto"/>
      <w:ind w:left="360" w:firstLine="0"/>
      <w:jc w:val="both"/>
      <w:outlineLvl w:val="6"/>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1C6"/>
    <w:rPr>
      <w:rFonts w:ascii="Times New Roman" w:eastAsia="Times New Roman" w:hAnsi="Times New Roman" w:cs="Times New Roman"/>
      <w:b/>
      <w:bCs/>
      <w:sz w:val="24"/>
      <w:szCs w:val="24"/>
      <w:lang w:val="en-US" w:eastAsia="ar-SA"/>
    </w:rPr>
  </w:style>
  <w:style w:type="character" w:customStyle="1" w:styleId="Heading2Char">
    <w:name w:val="Heading 2 Char"/>
    <w:basedOn w:val="DefaultParagraphFont"/>
    <w:link w:val="Heading2"/>
    <w:rsid w:val="009951C6"/>
    <w:rPr>
      <w:rFonts w:ascii="Times New Roman" w:eastAsia="Times New Roman" w:hAnsi="Times New Roman" w:cs="Times New Roman"/>
      <w:b/>
      <w:bCs/>
      <w:sz w:val="24"/>
      <w:szCs w:val="24"/>
      <w:lang w:val="fr-FR" w:eastAsia="ar-SA"/>
    </w:rPr>
  </w:style>
  <w:style w:type="character" w:customStyle="1" w:styleId="Heading3Char">
    <w:name w:val="Heading 3 Char"/>
    <w:basedOn w:val="DefaultParagraphFont"/>
    <w:link w:val="Heading3"/>
    <w:rsid w:val="009951C6"/>
    <w:rPr>
      <w:rFonts w:ascii="Times New Roman" w:eastAsia="Times New Roman" w:hAnsi="Times New Roman" w:cs="Times New Roman"/>
      <w:i/>
      <w:iCs/>
      <w:sz w:val="24"/>
      <w:szCs w:val="24"/>
      <w:lang w:val="fr-FR" w:eastAsia="ar-SA"/>
    </w:rPr>
  </w:style>
  <w:style w:type="character" w:customStyle="1" w:styleId="Heading4Char">
    <w:name w:val="Heading 4 Char"/>
    <w:basedOn w:val="DefaultParagraphFont"/>
    <w:link w:val="Heading4"/>
    <w:rsid w:val="009951C6"/>
    <w:rPr>
      <w:rFonts w:ascii="Times New Roman" w:eastAsia="Times New Roman" w:hAnsi="Times New Roman" w:cs="Times New Roman"/>
      <w:i/>
      <w:iCs/>
      <w:sz w:val="24"/>
      <w:szCs w:val="24"/>
      <w:lang w:eastAsia="ar-SA"/>
    </w:rPr>
  </w:style>
  <w:style w:type="character" w:customStyle="1" w:styleId="Heading5Char">
    <w:name w:val="Heading 5 Char"/>
    <w:basedOn w:val="DefaultParagraphFont"/>
    <w:link w:val="Heading5"/>
    <w:rsid w:val="009951C6"/>
    <w:rPr>
      <w:rFonts w:ascii="Times New Roman" w:eastAsia="Times New Roman" w:hAnsi="Times New Roman" w:cs="Times New Roman"/>
      <w:i/>
      <w:iCs/>
      <w:sz w:val="24"/>
      <w:szCs w:val="24"/>
      <w:lang w:eastAsia="ar-SA"/>
    </w:rPr>
  </w:style>
  <w:style w:type="character" w:customStyle="1" w:styleId="Heading6Char">
    <w:name w:val="Heading 6 Char"/>
    <w:basedOn w:val="DefaultParagraphFont"/>
    <w:link w:val="Heading6"/>
    <w:rsid w:val="009951C6"/>
    <w:rPr>
      <w:rFonts w:ascii="Times New Roman" w:eastAsia="Times New Roman" w:hAnsi="Times New Roman" w:cs="Times New Roman"/>
      <w:b/>
      <w:bCs/>
      <w:sz w:val="24"/>
      <w:szCs w:val="24"/>
      <w:lang w:val="de-DE" w:eastAsia="ar-SA"/>
    </w:rPr>
  </w:style>
  <w:style w:type="character" w:customStyle="1" w:styleId="Heading7Char">
    <w:name w:val="Heading 7 Char"/>
    <w:basedOn w:val="DefaultParagraphFont"/>
    <w:link w:val="Heading7"/>
    <w:rsid w:val="009951C6"/>
    <w:rPr>
      <w:rFonts w:ascii="Times New Roman" w:eastAsia="Times New Roman" w:hAnsi="Times New Roman" w:cs="Times New Roman"/>
      <w:i/>
      <w:iCs/>
      <w:sz w:val="24"/>
      <w:szCs w:val="24"/>
      <w:lang w:eastAsia="ar-SA"/>
    </w:rPr>
  </w:style>
  <w:style w:type="character" w:customStyle="1" w:styleId="WW8Num1z0">
    <w:name w:val="WW8Num1z0"/>
    <w:rsid w:val="009951C6"/>
    <w:rPr>
      <w:rFonts w:ascii="Symbol" w:eastAsia="Times New Roman" w:hAnsi="Symbol" w:cs="Times New Roman"/>
    </w:rPr>
  </w:style>
  <w:style w:type="character" w:customStyle="1" w:styleId="WW8Num1z1">
    <w:name w:val="WW8Num1z1"/>
    <w:rsid w:val="009951C6"/>
    <w:rPr>
      <w:rFonts w:ascii="Courier New" w:hAnsi="Courier New" w:cs="Courier New"/>
    </w:rPr>
  </w:style>
  <w:style w:type="character" w:customStyle="1" w:styleId="WW8Num1z2">
    <w:name w:val="WW8Num1z2"/>
    <w:rsid w:val="009951C6"/>
    <w:rPr>
      <w:rFonts w:ascii="Wingdings" w:hAnsi="Wingdings"/>
    </w:rPr>
  </w:style>
  <w:style w:type="character" w:customStyle="1" w:styleId="WW8Num1z3">
    <w:name w:val="WW8Num1z3"/>
    <w:rsid w:val="009951C6"/>
    <w:rPr>
      <w:rFonts w:ascii="Symbol" w:hAnsi="Symbol"/>
    </w:rPr>
  </w:style>
  <w:style w:type="character" w:customStyle="1" w:styleId="WW8Num2z0">
    <w:name w:val="WW8Num2z0"/>
    <w:rsid w:val="009951C6"/>
    <w:rPr>
      <w:rFonts w:ascii="Symbol" w:hAnsi="Symbol"/>
    </w:rPr>
  </w:style>
  <w:style w:type="character" w:customStyle="1" w:styleId="WW8Num3z0">
    <w:name w:val="WW8Num3z0"/>
    <w:rsid w:val="009951C6"/>
    <w:rPr>
      <w:rFonts w:ascii="Times New Roman" w:eastAsia="Times New Roman" w:hAnsi="Times New Roman" w:cs="Times New Roman"/>
    </w:rPr>
  </w:style>
  <w:style w:type="character" w:customStyle="1" w:styleId="WW8Num3z1">
    <w:name w:val="WW8Num3z1"/>
    <w:rsid w:val="009951C6"/>
    <w:rPr>
      <w:rFonts w:ascii="Courier New" w:hAnsi="Courier New"/>
    </w:rPr>
  </w:style>
  <w:style w:type="character" w:customStyle="1" w:styleId="WW8Num3z2">
    <w:name w:val="WW8Num3z2"/>
    <w:rsid w:val="009951C6"/>
    <w:rPr>
      <w:rFonts w:ascii="Wingdings" w:hAnsi="Wingdings"/>
    </w:rPr>
  </w:style>
  <w:style w:type="character" w:customStyle="1" w:styleId="WW8Num3z3">
    <w:name w:val="WW8Num3z3"/>
    <w:rsid w:val="009951C6"/>
    <w:rPr>
      <w:rFonts w:ascii="Symbol" w:hAnsi="Symbol"/>
    </w:rPr>
  </w:style>
  <w:style w:type="character" w:customStyle="1" w:styleId="WW8Num4z0">
    <w:name w:val="WW8Num4z0"/>
    <w:rsid w:val="009951C6"/>
    <w:rPr>
      <w:rFonts w:ascii="Symbol" w:hAnsi="Symbol"/>
    </w:rPr>
  </w:style>
  <w:style w:type="character" w:customStyle="1" w:styleId="WW8Num6z0">
    <w:name w:val="WW8Num6z0"/>
    <w:rsid w:val="009951C6"/>
    <w:rPr>
      <w:rFonts w:ascii="Times New Roman" w:eastAsia="Times New Roman" w:hAnsi="Times New Roman" w:cs="Times New Roman"/>
    </w:rPr>
  </w:style>
  <w:style w:type="character" w:customStyle="1" w:styleId="WW8Num6z1">
    <w:name w:val="WW8Num6z1"/>
    <w:rsid w:val="009951C6"/>
    <w:rPr>
      <w:rFonts w:ascii="Symbol" w:eastAsia="Times New Roman" w:hAnsi="Symbol" w:cs="Times New Roman"/>
    </w:rPr>
  </w:style>
  <w:style w:type="character" w:customStyle="1" w:styleId="WW8Num6z2">
    <w:name w:val="WW8Num6z2"/>
    <w:rsid w:val="009951C6"/>
    <w:rPr>
      <w:rFonts w:ascii="Wingdings" w:hAnsi="Wingdings"/>
    </w:rPr>
  </w:style>
  <w:style w:type="character" w:customStyle="1" w:styleId="WW8Num6z3">
    <w:name w:val="WW8Num6z3"/>
    <w:rsid w:val="009951C6"/>
    <w:rPr>
      <w:rFonts w:ascii="Symbol" w:hAnsi="Symbol"/>
    </w:rPr>
  </w:style>
  <w:style w:type="character" w:customStyle="1" w:styleId="WW8Num6z4">
    <w:name w:val="WW8Num6z4"/>
    <w:rsid w:val="009951C6"/>
    <w:rPr>
      <w:rFonts w:ascii="Courier New" w:hAnsi="Courier New"/>
    </w:rPr>
  </w:style>
  <w:style w:type="character" w:customStyle="1" w:styleId="WW8Num7z0">
    <w:name w:val="WW8Num7z0"/>
    <w:rsid w:val="009951C6"/>
    <w:rPr>
      <w:color w:val="auto"/>
    </w:rPr>
  </w:style>
  <w:style w:type="character" w:customStyle="1" w:styleId="WW8Num10z0">
    <w:name w:val="WW8Num10z0"/>
    <w:rsid w:val="009951C6"/>
    <w:rPr>
      <w:color w:val="auto"/>
    </w:rPr>
  </w:style>
  <w:style w:type="character" w:customStyle="1" w:styleId="WW8Num11z0">
    <w:name w:val="WW8Num11z0"/>
    <w:rsid w:val="009951C6"/>
    <w:rPr>
      <w:color w:val="auto"/>
    </w:rPr>
  </w:style>
  <w:style w:type="character" w:customStyle="1" w:styleId="WW8Num12z0">
    <w:name w:val="WW8Num12z0"/>
    <w:rsid w:val="009951C6"/>
    <w:rPr>
      <w:rFonts w:ascii="Times New Roman" w:eastAsia="Times New Roman" w:hAnsi="Times New Roman" w:cs="Times New Roman"/>
    </w:rPr>
  </w:style>
  <w:style w:type="character" w:customStyle="1" w:styleId="WW8Num12z1">
    <w:name w:val="WW8Num12z1"/>
    <w:rsid w:val="009951C6"/>
    <w:rPr>
      <w:rFonts w:ascii="Courier New" w:hAnsi="Courier New"/>
    </w:rPr>
  </w:style>
  <w:style w:type="character" w:customStyle="1" w:styleId="WW8Num12z2">
    <w:name w:val="WW8Num12z2"/>
    <w:rsid w:val="009951C6"/>
    <w:rPr>
      <w:rFonts w:ascii="Wingdings" w:hAnsi="Wingdings"/>
    </w:rPr>
  </w:style>
  <w:style w:type="character" w:customStyle="1" w:styleId="WW8Num12z3">
    <w:name w:val="WW8Num12z3"/>
    <w:rsid w:val="009951C6"/>
    <w:rPr>
      <w:rFonts w:ascii="Symbol" w:hAnsi="Symbol"/>
    </w:rPr>
  </w:style>
  <w:style w:type="character" w:customStyle="1" w:styleId="WW8Num13z0">
    <w:name w:val="WW8Num13z0"/>
    <w:rsid w:val="009951C6"/>
    <w:rPr>
      <w:rFonts w:ascii="Times New Roman" w:eastAsia="Times New Roman" w:hAnsi="Times New Roman" w:cs="Times New Roman"/>
    </w:rPr>
  </w:style>
  <w:style w:type="character" w:customStyle="1" w:styleId="WW8Num13z1">
    <w:name w:val="WW8Num13z1"/>
    <w:rsid w:val="009951C6"/>
    <w:rPr>
      <w:rFonts w:ascii="Courier New" w:hAnsi="Courier New" w:cs="Courier New"/>
    </w:rPr>
  </w:style>
  <w:style w:type="character" w:customStyle="1" w:styleId="WW8Num13z2">
    <w:name w:val="WW8Num13z2"/>
    <w:rsid w:val="009951C6"/>
    <w:rPr>
      <w:rFonts w:ascii="Wingdings" w:hAnsi="Wingdings"/>
    </w:rPr>
  </w:style>
  <w:style w:type="character" w:customStyle="1" w:styleId="WW8Num13z3">
    <w:name w:val="WW8Num13z3"/>
    <w:rsid w:val="009951C6"/>
    <w:rPr>
      <w:rFonts w:ascii="Symbol" w:hAnsi="Symbol"/>
    </w:rPr>
  </w:style>
  <w:style w:type="character" w:customStyle="1" w:styleId="WW8Num20z0">
    <w:name w:val="WW8Num20z0"/>
    <w:rsid w:val="009951C6"/>
    <w:rPr>
      <w:rFonts w:ascii="Times New Roman" w:eastAsia="Times New Roman" w:hAnsi="Times New Roman" w:cs="Times New Roman"/>
    </w:rPr>
  </w:style>
  <w:style w:type="character" w:customStyle="1" w:styleId="WW8Num20z1">
    <w:name w:val="WW8Num20z1"/>
    <w:rsid w:val="009951C6"/>
    <w:rPr>
      <w:rFonts w:ascii="Courier New" w:hAnsi="Courier New" w:cs="Courier New"/>
    </w:rPr>
  </w:style>
  <w:style w:type="character" w:customStyle="1" w:styleId="WW8Num20z2">
    <w:name w:val="WW8Num20z2"/>
    <w:rsid w:val="009951C6"/>
    <w:rPr>
      <w:rFonts w:ascii="Wingdings" w:hAnsi="Wingdings"/>
    </w:rPr>
  </w:style>
  <w:style w:type="character" w:customStyle="1" w:styleId="WW8Num20z3">
    <w:name w:val="WW8Num20z3"/>
    <w:rsid w:val="009951C6"/>
    <w:rPr>
      <w:rFonts w:ascii="Symbol" w:hAnsi="Symbol"/>
    </w:rPr>
  </w:style>
  <w:style w:type="character" w:customStyle="1" w:styleId="WW8Num21z0">
    <w:name w:val="WW8Num21z0"/>
    <w:rsid w:val="009951C6"/>
    <w:rPr>
      <w:rFonts w:ascii="Times New Roman" w:eastAsia="Times New Roman" w:hAnsi="Times New Roman" w:cs="Times New Roman"/>
    </w:rPr>
  </w:style>
  <w:style w:type="character" w:customStyle="1" w:styleId="WW8Num21z1">
    <w:name w:val="WW8Num21z1"/>
    <w:rsid w:val="009951C6"/>
    <w:rPr>
      <w:rFonts w:ascii="Courier New" w:hAnsi="Courier New" w:cs="Courier New"/>
    </w:rPr>
  </w:style>
  <w:style w:type="character" w:customStyle="1" w:styleId="WW8Num21z2">
    <w:name w:val="WW8Num21z2"/>
    <w:rsid w:val="009951C6"/>
    <w:rPr>
      <w:rFonts w:ascii="Wingdings" w:hAnsi="Wingdings"/>
    </w:rPr>
  </w:style>
  <w:style w:type="character" w:customStyle="1" w:styleId="WW8Num21z3">
    <w:name w:val="WW8Num21z3"/>
    <w:rsid w:val="009951C6"/>
    <w:rPr>
      <w:rFonts w:ascii="Symbol" w:hAnsi="Symbol"/>
    </w:rPr>
  </w:style>
  <w:style w:type="character" w:customStyle="1" w:styleId="Policepardfaut1">
    <w:name w:val="Police par défaut1"/>
    <w:rsid w:val="009951C6"/>
  </w:style>
  <w:style w:type="character" w:styleId="LineNumber">
    <w:name w:val="line number"/>
    <w:basedOn w:val="Policepardfaut1"/>
    <w:rsid w:val="009951C6"/>
  </w:style>
  <w:style w:type="character" w:styleId="Hyperlink">
    <w:name w:val="Hyperlink"/>
    <w:rsid w:val="009951C6"/>
    <w:rPr>
      <w:color w:val="0000FF"/>
      <w:u w:val="single"/>
    </w:rPr>
  </w:style>
  <w:style w:type="character" w:customStyle="1" w:styleId="Retraitcorpsdetexte2Car">
    <w:name w:val="Retrait corps de texte 2 Car"/>
    <w:rsid w:val="009951C6"/>
    <w:rPr>
      <w:sz w:val="24"/>
      <w:szCs w:val="24"/>
      <w:lang w:val="en-GB" w:eastAsia="ar-SA" w:bidi="ar-SA"/>
    </w:rPr>
  </w:style>
  <w:style w:type="character" w:customStyle="1" w:styleId="fieldlabel">
    <w:name w:val="fieldlabel"/>
    <w:basedOn w:val="Policepardfaut1"/>
    <w:rsid w:val="009951C6"/>
  </w:style>
  <w:style w:type="character" w:styleId="PageNumber">
    <w:name w:val="page number"/>
    <w:basedOn w:val="Policepardfaut1"/>
    <w:rsid w:val="009951C6"/>
  </w:style>
  <w:style w:type="character" w:customStyle="1" w:styleId="CarCar">
    <w:name w:val="Car Car"/>
    <w:rsid w:val="009951C6"/>
    <w:rPr>
      <w:sz w:val="24"/>
      <w:szCs w:val="24"/>
      <w:lang w:val="en-GB" w:eastAsia="ar-SA" w:bidi="ar-SA"/>
    </w:rPr>
  </w:style>
  <w:style w:type="character" w:customStyle="1" w:styleId="Marquedecommentaire1">
    <w:name w:val="Marque de commentaire1"/>
    <w:rsid w:val="009951C6"/>
    <w:rPr>
      <w:sz w:val="16"/>
      <w:szCs w:val="16"/>
    </w:rPr>
  </w:style>
  <w:style w:type="paragraph" w:customStyle="1" w:styleId="Titre1">
    <w:name w:val="Titre1"/>
    <w:basedOn w:val="Normal"/>
    <w:next w:val="BodyText"/>
    <w:rsid w:val="009951C6"/>
    <w:pPr>
      <w:keepNext/>
      <w:spacing w:before="240" w:after="120"/>
    </w:pPr>
    <w:rPr>
      <w:rFonts w:ascii="Arial" w:eastAsia="MS Mincho" w:hAnsi="Arial" w:cs="Tahoma"/>
      <w:sz w:val="28"/>
      <w:szCs w:val="28"/>
    </w:rPr>
  </w:style>
  <w:style w:type="paragraph" w:styleId="BodyText">
    <w:name w:val="Body Text"/>
    <w:basedOn w:val="Normal"/>
    <w:link w:val="BodyTextChar"/>
    <w:rsid w:val="009951C6"/>
    <w:pPr>
      <w:tabs>
        <w:tab w:val="left" w:pos="284"/>
      </w:tabs>
    </w:pPr>
    <w:rPr>
      <w:lang w:val="de-DE"/>
    </w:rPr>
  </w:style>
  <w:style w:type="character" w:customStyle="1" w:styleId="BodyTextChar">
    <w:name w:val="Body Text Char"/>
    <w:basedOn w:val="DefaultParagraphFont"/>
    <w:link w:val="BodyText"/>
    <w:rsid w:val="009951C6"/>
    <w:rPr>
      <w:rFonts w:ascii="Times New Roman" w:eastAsia="Times New Roman" w:hAnsi="Times New Roman" w:cs="Times New Roman"/>
      <w:sz w:val="24"/>
      <w:szCs w:val="24"/>
      <w:lang w:val="de-DE" w:eastAsia="ar-SA"/>
    </w:rPr>
  </w:style>
  <w:style w:type="paragraph" w:styleId="List">
    <w:name w:val="List"/>
    <w:basedOn w:val="BodyText"/>
    <w:rsid w:val="009951C6"/>
    <w:rPr>
      <w:rFonts w:cs="Tahoma"/>
    </w:rPr>
  </w:style>
  <w:style w:type="paragraph" w:customStyle="1" w:styleId="Lgende1">
    <w:name w:val="Légende1"/>
    <w:basedOn w:val="Normal"/>
    <w:next w:val="Normal"/>
    <w:rsid w:val="009951C6"/>
    <w:pPr>
      <w:spacing w:line="480" w:lineRule="auto"/>
      <w:jc w:val="center"/>
    </w:pPr>
    <w:rPr>
      <w:i/>
      <w:iCs/>
      <w:lang w:val="en-GB"/>
    </w:rPr>
  </w:style>
  <w:style w:type="paragraph" w:customStyle="1" w:styleId="Rpertoire">
    <w:name w:val="Répertoire"/>
    <w:basedOn w:val="Normal"/>
    <w:rsid w:val="009951C6"/>
    <w:pPr>
      <w:suppressLineNumbers/>
    </w:pPr>
    <w:rPr>
      <w:rFonts w:cs="Tahoma"/>
    </w:rPr>
  </w:style>
  <w:style w:type="paragraph" w:styleId="BodyTextIndent">
    <w:name w:val="Body Text Indent"/>
    <w:basedOn w:val="Normal"/>
    <w:link w:val="BodyTextIndentChar"/>
    <w:rsid w:val="009951C6"/>
    <w:pPr>
      <w:spacing w:line="480" w:lineRule="auto"/>
      <w:ind w:firstLine="709"/>
      <w:jc w:val="both"/>
    </w:pPr>
    <w:rPr>
      <w:lang w:val="en-US"/>
    </w:rPr>
  </w:style>
  <w:style w:type="character" w:customStyle="1" w:styleId="BodyTextIndentChar">
    <w:name w:val="Body Text Indent Char"/>
    <w:basedOn w:val="DefaultParagraphFont"/>
    <w:link w:val="BodyTextIndent"/>
    <w:rsid w:val="009951C6"/>
    <w:rPr>
      <w:rFonts w:ascii="Times New Roman" w:eastAsia="Times New Roman" w:hAnsi="Times New Roman" w:cs="Times New Roman"/>
      <w:sz w:val="24"/>
      <w:szCs w:val="24"/>
      <w:lang w:val="en-US" w:eastAsia="ar-SA"/>
    </w:rPr>
  </w:style>
  <w:style w:type="paragraph" w:customStyle="1" w:styleId="Chapitre">
    <w:name w:val="Chapitre"/>
    <w:basedOn w:val="Normal"/>
    <w:rsid w:val="009951C6"/>
    <w:pPr>
      <w:pBdr>
        <w:top w:val="single" w:sz="4" w:space="1" w:color="000000"/>
        <w:left w:val="single" w:sz="4" w:space="4" w:color="000000"/>
        <w:bottom w:val="single" w:sz="4" w:space="1" w:color="000000"/>
        <w:right w:val="single" w:sz="4" w:space="4" w:color="000000"/>
      </w:pBdr>
      <w:tabs>
        <w:tab w:val="left" w:pos="284"/>
      </w:tabs>
      <w:jc w:val="center"/>
    </w:pPr>
    <w:rPr>
      <w:b/>
      <w:bCs/>
      <w:sz w:val="28"/>
      <w:szCs w:val="28"/>
      <w:lang w:val="de-DE"/>
    </w:rPr>
  </w:style>
  <w:style w:type="paragraph" w:customStyle="1" w:styleId="Corpsdetexte21">
    <w:name w:val="Corps de texte 21"/>
    <w:basedOn w:val="Normal"/>
    <w:rsid w:val="009951C6"/>
    <w:pPr>
      <w:spacing w:line="480" w:lineRule="auto"/>
      <w:jc w:val="both"/>
    </w:pPr>
    <w:rPr>
      <w:lang w:val="en-GB"/>
    </w:rPr>
  </w:style>
  <w:style w:type="paragraph" w:customStyle="1" w:styleId="Corpsdetexte31">
    <w:name w:val="Corps de texte 31"/>
    <w:basedOn w:val="Normal"/>
    <w:rsid w:val="009951C6"/>
    <w:pPr>
      <w:spacing w:line="480" w:lineRule="auto"/>
      <w:jc w:val="center"/>
    </w:pPr>
    <w:rPr>
      <w:lang w:val="en-GB"/>
    </w:rPr>
  </w:style>
  <w:style w:type="paragraph" w:styleId="Title">
    <w:name w:val="Title"/>
    <w:basedOn w:val="Normal"/>
    <w:next w:val="Subtitle"/>
    <w:link w:val="TitleChar"/>
    <w:qFormat/>
    <w:rsid w:val="009951C6"/>
    <w:pPr>
      <w:jc w:val="center"/>
    </w:pPr>
    <w:rPr>
      <w:b/>
      <w:sz w:val="28"/>
      <w:szCs w:val="20"/>
    </w:rPr>
  </w:style>
  <w:style w:type="character" w:customStyle="1" w:styleId="TitleChar">
    <w:name w:val="Title Char"/>
    <w:basedOn w:val="DefaultParagraphFont"/>
    <w:link w:val="Title"/>
    <w:rsid w:val="009951C6"/>
    <w:rPr>
      <w:rFonts w:ascii="Times New Roman" w:eastAsia="Times New Roman" w:hAnsi="Times New Roman" w:cs="Times New Roman"/>
      <w:b/>
      <w:sz w:val="28"/>
      <w:szCs w:val="20"/>
      <w:lang w:val="fr-FR" w:eastAsia="ar-SA"/>
    </w:rPr>
  </w:style>
  <w:style w:type="paragraph" w:styleId="Subtitle">
    <w:name w:val="Subtitle"/>
    <w:basedOn w:val="Titre1"/>
    <w:next w:val="BodyText"/>
    <w:link w:val="SubtitleChar"/>
    <w:qFormat/>
    <w:rsid w:val="009951C6"/>
    <w:pPr>
      <w:jc w:val="center"/>
    </w:pPr>
    <w:rPr>
      <w:i/>
      <w:iCs/>
    </w:rPr>
  </w:style>
  <w:style w:type="character" w:customStyle="1" w:styleId="SubtitleChar">
    <w:name w:val="Subtitle Char"/>
    <w:basedOn w:val="DefaultParagraphFont"/>
    <w:link w:val="Subtitle"/>
    <w:rsid w:val="009951C6"/>
    <w:rPr>
      <w:rFonts w:ascii="Arial" w:eastAsia="MS Mincho" w:hAnsi="Arial" w:cs="Tahoma"/>
      <w:i/>
      <w:iCs/>
      <w:sz w:val="28"/>
      <w:szCs w:val="28"/>
      <w:lang w:val="fr-FR" w:eastAsia="ar-SA"/>
    </w:rPr>
  </w:style>
  <w:style w:type="paragraph" w:customStyle="1" w:styleId="figures">
    <w:name w:val="figures"/>
    <w:basedOn w:val="Normal"/>
    <w:rsid w:val="009951C6"/>
    <w:pPr>
      <w:ind w:left="567" w:right="662"/>
      <w:jc w:val="both"/>
    </w:pPr>
    <w:rPr>
      <w:b/>
      <w:bCs/>
      <w:lang w:val="en-GB"/>
    </w:rPr>
  </w:style>
  <w:style w:type="paragraph" w:customStyle="1" w:styleId="Style2">
    <w:name w:val="Style2"/>
    <w:basedOn w:val="Normal"/>
    <w:rsid w:val="009951C6"/>
    <w:rPr>
      <w:b/>
      <w:bCs/>
      <w:lang w:val="en-GB"/>
    </w:rPr>
  </w:style>
  <w:style w:type="paragraph" w:customStyle="1" w:styleId="Retraitcorpsdetexte21">
    <w:name w:val="Retrait corps de texte 21"/>
    <w:basedOn w:val="Normal"/>
    <w:rsid w:val="009951C6"/>
    <w:pPr>
      <w:spacing w:line="480" w:lineRule="auto"/>
      <w:ind w:firstLine="708"/>
    </w:pPr>
    <w:rPr>
      <w:lang w:val="en-GB"/>
    </w:rPr>
  </w:style>
  <w:style w:type="paragraph" w:styleId="TOC1">
    <w:name w:val="toc 1"/>
    <w:basedOn w:val="Normal"/>
    <w:next w:val="Normal"/>
    <w:semiHidden/>
    <w:rsid w:val="009951C6"/>
    <w:pPr>
      <w:tabs>
        <w:tab w:val="right" w:leader="dot" w:pos="9062"/>
      </w:tabs>
    </w:pPr>
    <w:rPr>
      <w:lang w:val="en-GB"/>
    </w:rPr>
  </w:style>
  <w:style w:type="paragraph" w:styleId="BalloonText">
    <w:name w:val="Balloon Text"/>
    <w:basedOn w:val="Normal"/>
    <w:link w:val="BalloonTextChar"/>
    <w:rsid w:val="009951C6"/>
    <w:rPr>
      <w:rFonts w:ascii="Tahoma" w:hAnsi="Tahoma" w:cs="Tahoma"/>
      <w:sz w:val="16"/>
      <w:szCs w:val="16"/>
    </w:rPr>
  </w:style>
  <w:style w:type="character" w:customStyle="1" w:styleId="BalloonTextChar">
    <w:name w:val="Balloon Text Char"/>
    <w:basedOn w:val="DefaultParagraphFont"/>
    <w:link w:val="BalloonText"/>
    <w:rsid w:val="009951C6"/>
    <w:rPr>
      <w:rFonts w:ascii="Tahoma" w:eastAsia="Times New Roman" w:hAnsi="Tahoma" w:cs="Tahoma"/>
      <w:sz w:val="16"/>
      <w:szCs w:val="16"/>
      <w:lang w:val="fr-FR" w:eastAsia="ar-SA"/>
    </w:rPr>
  </w:style>
  <w:style w:type="paragraph" w:styleId="Header">
    <w:name w:val="header"/>
    <w:basedOn w:val="Normal"/>
    <w:link w:val="HeaderChar"/>
    <w:rsid w:val="009951C6"/>
    <w:pPr>
      <w:tabs>
        <w:tab w:val="center" w:pos="4536"/>
        <w:tab w:val="right" w:pos="9072"/>
      </w:tabs>
    </w:pPr>
  </w:style>
  <w:style w:type="character" w:customStyle="1" w:styleId="HeaderChar">
    <w:name w:val="Header Char"/>
    <w:basedOn w:val="DefaultParagraphFont"/>
    <w:link w:val="Header"/>
    <w:rsid w:val="009951C6"/>
    <w:rPr>
      <w:rFonts w:ascii="Times New Roman" w:eastAsia="Times New Roman" w:hAnsi="Times New Roman" w:cs="Times New Roman"/>
      <w:sz w:val="24"/>
      <w:szCs w:val="24"/>
      <w:lang w:val="fr-FR" w:eastAsia="ar-SA"/>
    </w:rPr>
  </w:style>
  <w:style w:type="paragraph" w:customStyle="1" w:styleId="Commentaire1">
    <w:name w:val="Commentaire1"/>
    <w:basedOn w:val="Normal"/>
    <w:rsid w:val="009951C6"/>
    <w:rPr>
      <w:sz w:val="20"/>
      <w:szCs w:val="20"/>
    </w:rPr>
  </w:style>
  <w:style w:type="paragraph" w:customStyle="1" w:styleId="CM66">
    <w:name w:val="CM66"/>
    <w:basedOn w:val="Normal"/>
    <w:next w:val="Normal"/>
    <w:rsid w:val="009951C6"/>
    <w:pPr>
      <w:autoSpaceDE w:val="0"/>
      <w:spacing w:after="618"/>
    </w:pPr>
    <w:rPr>
      <w:sz w:val="20"/>
    </w:rPr>
  </w:style>
  <w:style w:type="paragraph" w:styleId="CommentText">
    <w:name w:val="annotation text"/>
    <w:basedOn w:val="Normal"/>
    <w:link w:val="CommentTextChar"/>
    <w:semiHidden/>
    <w:rsid w:val="009951C6"/>
    <w:rPr>
      <w:sz w:val="20"/>
      <w:szCs w:val="20"/>
    </w:rPr>
  </w:style>
  <w:style w:type="character" w:customStyle="1" w:styleId="CommentTextChar">
    <w:name w:val="Comment Text Char"/>
    <w:link w:val="CommentText"/>
    <w:semiHidden/>
    <w:rsid w:val="009951C6"/>
    <w:rPr>
      <w:rFonts w:ascii="Times New Roman" w:eastAsia="Times New Roman" w:hAnsi="Times New Roman" w:cs="Times New Roman"/>
      <w:sz w:val="20"/>
      <w:szCs w:val="20"/>
      <w:lang w:val="fr-FR" w:eastAsia="ar-SA"/>
    </w:rPr>
  </w:style>
  <w:style w:type="paragraph" w:styleId="CommentSubject">
    <w:name w:val="annotation subject"/>
    <w:basedOn w:val="Commentaire1"/>
    <w:next w:val="Commentaire1"/>
    <w:link w:val="CommentSubjectChar"/>
    <w:rsid w:val="009951C6"/>
    <w:rPr>
      <w:b/>
      <w:bCs/>
    </w:rPr>
  </w:style>
  <w:style w:type="character" w:customStyle="1" w:styleId="CommentSubjectChar">
    <w:name w:val="Comment Subject Char"/>
    <w:basedOn w:val="CommentTextChar"/>
    <w:link w:val="CommentSubject"/>
    <w:rsid w:val="009951C6"/>
    <w:rPr>
      <w:rFonts w:ascii="Times New Roman" w:eastAsia="Times New Roman" w:hAnsi="Times New Roman" w:cs="Times New Roman"/>
      <w:b/>
      <w:bCs/>
      <w:sz w:val="20"/>
      <w:szCs w:val="20"/>
      <w:lang w:val="fr-FR" w:eastAsia="ar-SA"/>
    </w:rPr>
  </w:style>
  <w:style w:type="paragraph" w:customStyle="1" w:styleId="Retraitcorpsdetexte31">
    <w:name w:val="Retrait corps de texte 31"/>
    <w:basedOn w:val="Normal"/>
    <w:rsid w:val="009951C6"/>
    <w:pPr>
      <w:spacing w:line="480" w:lineRule="auto"/>
      <w:ind w:firstLine="708"/>
      <w:jc w:val="both"/>
    </w:pPr>
    <w:rPr>
      <w:lang w:val="en-GB"/>
    </w:rPr>
  </w:style>
  <w:style w:type="paragraph" w:customStyle="1" w:styleId="Contenuducadre">
    <w:name w:val="Contenu du cadre"/>
    <w:basedOn w:val="BodyText"/>
    <w:rsid w:val="009951C6"/>
  </w:style>
  <w:style w:type="character" w:styleId="CommentReference">
    <w:name w:val="annotation reference"/>
    <w:semiHidden/>
    <w:rsid w:val="009951C6"/>
    <w:rPr>
      <w:sz w:val="16"/>
      <w:szCs w:val="16"/>
    </w:rPr>
  </w:style>
  <w:style w:type="paragraph" w:customStyle="1" w:styleId="Default">
    <w:name w:val="Default"/>
    <w:rsid w:val="009951C6"/>
    <w:pPr>
      <w:autoSpaceDE w:val="0"/>
      <w:autoSpaceDN w:val="0"/>
      <w:adjustRightInd w:val="0"/>
      <w:spacing w:after="0" w:line="240" w:lineRule="auto"/>
    </w:pPr>
    <w:rPr>
      <w:rFonts w:ascii="Calibri" w:eastAsia="Times New Roman" w:hAnsi="Calibri" w:cs="Calibri"/>
      <w:color w:val="000000"/>
      <w:sz w:val="24"/>
      <w:szCs w:val="24"/>
      <w:lang w:val="fr-FR" w:eastAsia="fr-FR"/>
    </w:rPr>
  </w:style>
  <w:style w:type="paragraph" w:styleId="FootnoteText">
    <w:name w:val="footnote text"/>
    <w:basedOn w:val="Normal"/>
    <w:link w:val="FootnoteTextChar"/>
    <w:rsid w:val="009951C6"/>
    <w:rPr>
      <w:sz w:val="20"/>
      <w:szCs w:val="20"/>
      <w:lang w:val="x-none"/>
    </w:rPr>
  </w:style>
  <w:style w:type="character" w:customStyle="1" w:styleId="FootnoteTextChar">
    <w:name w:val="Footnote Text Char"/>
    <w:link w:val="FootnoteText"/>
    <w:rsid w:val="009951C6"/>
    <w:rPr>
      <w:rFonts w:ascii="Times New Roman" w:eastAsia="Times New Roman" w:hAnsi="Times New Roman" w:cs="Times New Roman"/>
      <w:sz w:val="20"/>
      <w:szCs w:val="20"/>
      <w:lang w:val="x-none" w:eastAsia="ar-SA"/>
    </w:rPr>
  </w:style>
  <w:style w:type="character" w:styleId="FootnoteReference">
    <w:name w:val="footnote reference"/>
    <w:rsid w:val="009951C6"/>
    <w:rPr>
      <w:vertAlign w:val="superscript"/>
    </w:rPr>
  </w:style>
  <w:style w:type="paragraph" w:styleId="NormalWeb">
    <w:name w:val="Normal (Web)"/>
    <w:basedOn w:val="Normal"/>
    <w:uiPriority w:val="99"/>
    <w:unhideWhenUsed/>
    <w:rsid w:val="009951C6"/>
    <w:pPr>
      <w:suppressAutoHyphens w:val="0"/>
      <w:spacing w:before="100" w:beforeAutospacing="1" w:after="100" w:afterAutospacing="1"/>
    </w:pPr>
    <w:rPr>
      <w:lang w:eastAsia="fr-FR"/>
    </w:rPr>
  </w:style>
  <w:style w:type="character" w:styleId="Emphasis">
    <w:name w:val="Emphasis"/>
    <w:uiPriority w:val="20"/>
    <w:qFormat/>
    <w:rsid w:val="009951C6"/>
    <w:rPr>
      <w:i/>
      <w:iCs/>
    </w:rPr>
  </w:style>
  <w:style w:type="paragraph" w:customStyle="1" w:styleId="EndNoteBibliographyTitle">
    <w:name w:val="EndNote Bibliography Title"/>
    <w:basedOn w:val="Normal"/>
    <w:link w:val="EndNoteBibliographyTitleZchn"/>
    <w:rsid w:val="009951C6"/>
    <w:pPr>
      <w:jc w:val="center"/>
    </w:pPr>
    <w:rPr>
      <w:noProof/>
    </w:rPr>
  </w:style>
  <w:style w:type="character" w:customStyle="1" w:styleId="EndNoteBibliographyTitleZchn">
    <w:name w:val="EndNote Bibliography Title Zchn"/>
    <w:link w:val="EndNoteBibliographyTitle"/>
    <w:rsid w:val="009951C6"/>
    <w:rPr>
      <w:rFonts w:ascii="Times New Roman" w:eastAsia="Times New Roman" w:hAnsi="Times New Roman" w:cs="Times New Roman"/>
      <w:noProof/>
      <w:sz w:val="24"/>
      <w:szCs w:val="24"/>
      <w:lang w:val="fr-FR" w:eastAsia="ar-SA"/>
    </w:rPr>
  </w:style>
  <w:style w:type="paragraph" w:customStyle="1" w:styleId="EndNoteBibliography">
    <w:name w:val="EndNote Bibliography"/>
    <w:basedOn w:val="Normal"/>
    <w:link w:val="EndNoteBibliographyZchn"/>
    <w:rsid w:val="009951C6"/>
    <w:rPr>
      <w:noProof/>
    </w:rPr>
  </w:style>
  <w:style w:type="character" w:customStyle="1" w:styleId="EndNoteBibliographyZchn">
    <w:name w:val="EndNote Bibliography Zchn"/>
    <w:link w:val="EndNoteBibliography"/>
    <w:rsid w:val="009951C6"/>
    <w:rPr>
      <w:rFonts w:ascii="Times New Roman" w:eastAsia="Times New Roman" w:hAnsi="Times New Roman" w:cs="Times New Roman"/>
      <w:noProof/>
      <w:sz w:val="24"/>
      <w:szCs w:val="24"/>
      <w:lang w:val="fr-FR" w:eastAsia="ar-SA"/>
    </w:rPr>
  </w:style>
  <w:style w:type="paragraph" w:styleId="ListParagraph">
    <w:name w:val="List Paragraph"/>
    <w:basedOn w:val="Normal"/>
    <w:uiPriority w:val="34"/>
    <w:qFormat/>
    <w:rsid w:val="009951C6"/>
    <w:pPr>
      <w:ind w:left="720"/>
    </w:pPr>
  </w:style>
  <w:style w:type="table" w:styleId="TableGrid">
    <w:name w:val="Table Grid"/>
    <w:basedOn w:val="TableNormal"/>
    <w:uiPriority w:val="59"/>
    <w:rsid w:val="0099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9951C6"/>
    <w:pPr>
      <w:suppressAutoHyphens/>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9951C6"/>
    <w:pPr>
      <w:suppressAutoHyphens/>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1">
    <w:name w:val="Tabellenraster1"/>
    <w:basedOn w:val="TableNormal"/>
    <w:next w:val="TableGrid"/>
    <w:uiPriority w:val="59"/>
    <w:rsid w:val="009951C6"/>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951C6"/>
    <w:pPr>
      <w:spacing w:after="0" w:line="240" w:lineRule="auto"/>
    </w:pPr>
    <w:rPr>
      <w:rFonts w:ascii="Calibri" w:eastAsia="Times New Roman" w:hAnsi="Calibri" w:cs="Times New Roman"/>
      <w:lang w:val="de-DE" w:eastAsia="de-DE"/>
    </w:rPr>
  </w:style>
  <w:style w:type="character" w:customStyle="1" w:styleId="NoSpacingChar">
    <w:name w:val="No Spacing Char"/>
    <w:link w:val="NoSpacing"/>
    <w:uiPriority w:val="1"/>
    <w:rsid w:val="009951C6"/>
    <w:rPr>
      <w:rFonts w:ascii="Calibri" w:eastAsia="Times New Roman" w:hAnsi="Calibri" w:cs="Times New Roman"/>
      <w:lang w:val="de-DE" w:eastAsia="de-DE"/>
    </w:rPr>
  </w:style>
  <w:style w:type="table" w:customStyle="1" w:styleId="Tabellenraster2">
    <w:name w:val="Tabellenraster2"/>
    <w:basedOn w:val="TableNormal"/>
    <w:next w:val="TableGrid"/>
    <w:uiPriority w:val="59"/>
    <w:rsid w:val="0099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951C6"/>
    <w:pPr>
      <w:tabs>
        <w:tab w:val="center" w:pos="4536"/>
        <w:tab w:val="right" w:pos="9072"/>
      </w:tabs>
    </w:pPr>
  </w:style>
  <w:style w:type="character" w:customStyle="1" w:styleId="FooterChar">
    <w:name w:val="Footer Char"/>
    <w:link w:val="Footer"/>
    <w:uiPriority w:val="99"/>
    <w:rsid w:val="009951C6"/>
    <w:rPr>
      <w:rFonts w:ascii="Times New Roman" w:eastAsia="Times New Roman" w:hAnsi="Times New Roman" w:cs="Times New Roman"/>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Simple 1"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C6"/>
    <w:pPr>
      <w:suppressAutoHyphens/>
      <w:spacing w:after="0" w:line="240" w:lineRule="auto"/>
    </w:pPr>
    <w:rPr>
      <w:rFonts w:ascii="Times New Roman" w:eastAsia="Times New Roman" w:hAnsi="Times New Roman" w:cs="Times New Roman"/>
      <w:sz w:val="24"/>
      <w:szCs w:val="24"/>
      <w:lang w:val="fr-FR" w:eastAsia="ar-SA"/>
    </w:rPr>
  </w:style>
  <w:style w:type="paragraph" w:styleId="Heading1">
    <w:name w:val="heading 1"/>
    <w:basedOn w:val="Heading2"/>
    <w:next w:val="Normal"/>
    <w:link w:val="Heading1Char"/>
    <w:qFormat/>
    <w:rsid w:val="009951C6"/>
    <w:pPr>
      <w:pageBreakBefore/>
      <w:numPr>
        <w:ilvl w:val="0"/>
        <w:numId w:val="7"/>
      </w:numPr>
      <w:spacing w:line="480" w:lineRule="auto"/>
      <w:jc w:val="both"/>
      <w:outlineLvl w:val="0"/>
    </w:pPr>
    <w:rPr>
      <w:lang w:val="en-US"/>
    </w:rPr>
  </w:style>
  <w:style w:type="paragraph" w:styleId="Heading2">
    <w:name w:val="heading 2"/>
    <w:basedOn w:val="Normal"/>
    <w:next w:val="Normal"/>
    <w:link w:val="Heading2Char"/>
    <w:qFormat/>
    <w:rsid w:val="009951C6"/>
    <w:pPr>
      <w:keepNext/>
      <w:numPr>
        <w:ilvl w:val="1"/>
        <w:numId w:val="1"/>
      </w:numPr>
      <w:outlineLvl w:val="1"/>
    </w:pPr>
    <w:rPr>
      <w:b/>
      <w:bCs/>
    </w:rPr>
  </w:style>
  <w:style w:type="paragraph" w:styleId="Heading3">
    <w:name w:val="heading 3"/>
    <w:basedOn w:val="Normal"/>
    <w:next w:val="Normal"/>
    <w:link w:val="Heading3Char"/>
    <w:qFormat/>
    <w:rsid w:val="009951C6"/>
    <w:pPr>
      <w:keepNext/>
      <w:numPr>
        <w:ilvl w:val="2"/>
        <w:numId w:val="1"/>
      </w:numPr>
      <w:outlineLvl w:val="2"/>
    </w:pPr>
    <w:rPr>
      <w:i/>
      <w:iCs/>
    </w:rPr>
  </w:style>
  <w:style w:type="paragraph" w:styleId="Heading4">
    <w:name w:val="heading 4"/>
    <w:basedOn w:val="Normal"/>
    <w:next w:val="Normal"/>
    <w:link w:val="Heading4Char"/>
    <w:qFormat/>
    <w:rsid w:val="009951C6"/>
    <w:pPr>
      <w:keepNext/>
      <w:numPr>
        <w:ilvl w:val="3"/>
        <w:numId w:val="1"/>
      </w:numPr>
      <w:spacing w:line="360" w:lineRule="auto"/>
      <w:jc w:val="both"/>
      <w:outlineLvl w:val="3"/>
    </w:pPr>
    <w:rPr>
      <w:i/>
      <w:iCs/>
      <w:lang w:val="en-GB"/>
    </w:rPr>
  </w:style>
  <w:style w:type="paragraph" w:styleId="Heading5">
    <w:name w:val="heading 5"/>
    <w:basedOn w:val="Normal"/>
    <w:next w:val="Normal"/>
    <w:link w:val="Heading5Char"/>
    <w:qFormat/>
    <w:rsid w:val="009951C6"/>
    <w:pPr>
      <w:keepNext/>
      <w:numPr>
        <w:ilvl w:val="4"/>
        <w:numId w:val="1"/>
      </w:numPr>
      <w:spacing w:line="480" w:lineRule="auto"/>
      <w:jc w:val="center"/>
      <w:outlineLvl w:val="4"/>
    </w:pPr>
    <w:rPr>
      <w:i/>
      <w:iCs/>
      <w:lang w:val="en-GB"/>
    </w:rPr>
  </w:style>
  <w:style w:type="paragraph" w:styleId="Heading6">
    <w:name w:val="heading 6"/>
    <w:basedOn w:val="Normal"/>
    <w:next w:val="Normal"/>
    <w:link w:val="Heading6Char"/>
    <w:qFormat/>
    <w:rsid w:val="009951C6"/>
    <w:pPr>
      <w:keepNext/>
      <w:numPr>
        <w:ilvl w:val="5"/>
        <w:numId w:val="1"/>
      </w:numPr>
      <w:spacing w:line="480" w:lineRule="auto"/>
      <w:jc w:val="both"/>
      <w:outlineLvl w:val="5"/>
    </w:pPr>
    <w:rPr>
      <w:b/>
      <w:bCs/>
      <w:lang w:val="de-DE"/>
    </w:rPr>
  </w:style>
  <w:style w:type="paragraph" w:styleId="Heading7">
    <w:name w:val="heading 7"/>
    <w:basedOn w:val="Normal"/>
    <w:next w:val="Normal"/>
    <w:link w:val="Heading7Char"/>
    <w:qFormat/>
    <w:rsid w:val="009951C6"/>
    <w:pPr>
      <w:keepNext/>
      <w:numPr>
        <w:ilvl w:val="6"/>
        <w:numId w:val="1"/>
      </w:numPr>
      <w:spacing w:line="480" w:lineRule="auto"/>
      <w:ind w:left="360" w:firstLine="0"/>
      <w:jc w:val="both"/>
      <w:outlineLvl w:val="6"/>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1C6"/>
    <w:rPr>
      <w:rFonts w:ascii="Times New Roman" w:eastAsia="Times New Roman" w:hAnsi="Times New Roman" w:cs="Times New Roman"/>
      <w:b/>
      <w:bCs/>
      <w:sz w:val="24"/>
      <w:szCs w:val="24"/>
      <w:lang w:val="en-US" w:eastAsia="ar-SA"/>
    </w:rPr>
  </w:style>
  <w:style w:type="character" w:customStyle="1" w:styleId="Heading2Char">
    <w:name w:val="Heading 2 Char"/>
    <w:basedOn w:val="DefaultParagraphFont"/>
    <w:link w:val="Heading2"/>
    <w:rsid w:val="009951C6"/>
    <w:rPr>
      <w:rFonts w:ascii="Times New Roman" w:eastAsia="Times New Roman" w:hAnsi="Times New Roman" w:cs="Times New Roman"/>
      <w:b/>
      <w:bCs/>
      <w:sz w:val="24"/>
      <w:szCs w:val="24"/>
      <w:lang w:val="fr-FR" w:eastAsia="ar-SA"/>
    </w:rPr>
  </w:style>
  <w:style w:type="character" w:customStyle="1" w:styleId="Heading3Char">
    <w:name w:val="Heading 3 Char"/>
    <w:basedOn w:val="DefaultParagraphFont"/>
    <w:link w:val="Heading3"/>
    <w:rsid w:val="009951C6"/>
    <w:rPr>
      <w:rFonts w:ascii="Times New Roman" w:eastAsia="Times New Roman" w:hAnsi="Times New Roman" w:cs="Times New Roman"/>
      <w:i/>
      <w:iCs/>
      <w:sz w:val="24"/>
      <w:szCs w:val="24"/>
      <w:lang w:val="fr-FR" w:eastAsia="ar-SA"/>
    </w:rPr>
  </w:style>
  <w:style w:type="character" w:customStyle="1" w:styleId="Heading4Char">
    <w:name w:val="Heading 4 Char"/>
    <w:basedOn w:val="DefaultParagraphFont"/>
    <w:link w:val="Heading4"/>
    <w:rsid w:val="009951C6"/>
    <w:rPr>
      <w:rFonts w:ascii="Times New Roman" w:eastAsia="Times New Roman" w:hAnsi="Times New Roman" w:cs="Times New Roman"/>
      <w:i/>
      <w:iCs/>
      <w:sz w:val="24"/>
      <w:szCs w:val="24"/>
      <w:lang w:eastAsia="ar-SA"/>
    </w:rPr>
  </w:style>
  <w:style w:type="character" w:customStyle="1" w:styleId="Heading5Char">
    <w:name w:val="Heading 5 Char"/>
    <w:basedOn w:val="DefaultParagraphFont"/>
    <w:link w:val="Heading5"/>
    <w:rsid w:val="009951C6"/>
    <w:rPr>
      <w:rFonts w:ascii="Times New Roman" w:eastAsia="Times New Roman" w:hAnsi="Times New Roman" w:cs="Times New Roman"/>
      <w:i/>
      <w:iCs/>
      <w:sz w:val="24"/>
      <w:szCs w:val="24"/>
      <w:lang w:eastAsia="ar-SA"/>
    </w:rPr>
  </w:style>
  <w:style w:type="character" w:customStyle="1" w:styleId="Heading6Char">
    <w:name w:val="Heading 6 Char"/>
    <w:basedOn w:val="DefaultParagraphFont"/>
    <w:link w:val="Heading6"/>
    <w:rsid w:val="009951C6"/>
    <w:rPr>
      <w:rFonts w:ascii="Times New Roman" w:eastAsia="Times New Roman" w:hAnsi="Times New Roman" w:cs="Times New Roman"/>
      <w:b/>
      <w:bCs/>
      <w:sz w:val="24"/>
      <w:szCs w:val="24"/>
      <w:lang w:val="de-DE" w:eastAsia="ar-SA"/>
    </w:rPr>
  </w:style>
  <w:style w:type="character" w:customStyle="1" w:styleId="Heading7Char">
    <w:name w:val="Heading 7 Char"/>
    <w:basedOn w:val="DefaultParagraphFont"/>
    <w:link w:val="Heading7"/>
    <w:rsid w:val="009951C6"/>
    <w:rPr>
      <w:rFonts w:ascii="Times New Roman" w:eastAsia="Times New Roman" w:hAnsi="Times New Roman" w:cs="Times New Roman"/>
      <w:i/>
      <w:iCs/>
      <w:sz w:val="24"/>
      <w:szCs w:val="24"/>
      <w:lang w:eastAsia="ar-SA"/>
    </w:rPr>
  </w:style>
  <w:style w:type="character" w:customStyle="1" w:styleId="WW8Num1z0">
    <w:name w:val="WW8Num1z0"/>
    <w:rsid w:val="009951C6"/>
    <w:rPr>
      <w:rFonts w:ascii="Symbol" w:eastAsia="Times New Roman" w:hAnsi="Symbol" w:cs="Times New Roman"/>
    </w:rPr>
  </w:style>
  <w:style w:type="character" w:customStyle="1" w:styleId="WW8Num1z1">
    <w:name w:val="WW8Num1z1"/>
    <w:rsid w:val="009951C6"/>
    <w:rPr>
      <w:rFonts w:ascii="Courier New" w:hAnsi="Courier New" w:cs="Courier New"/>
    </w:rPr>
  </w:style>
  <w:style w:type="character" w:customStyle="1" w:styleId="WW8Num1z2">
    <w:name w:val="WW8Num1z2"/>
    <w:rsid w:val="009951C6"/>
    <w:rPr>
      <w:rFonts w:ascii="Wingdings" w:hAnsi="Wingdings"/>
    </w:rPr>
  </w:style>
  <w:style w:type="character" w:customStyle="1" w:styleId="WW8Num1z3">
    <w:name w:val="WW8Num1z3"/>
    <w:rsid w:val="009951C6"/>
    <w:rPr>
      <w:rFonts w:ascii="Symbol" w:hAnsi="Symbol"/>
    </w:rPr>
  </w:style>
  <w:style w:type="character" w:customStyle="1" w:styleId="WW8Num2z0">
    <w:name w:val="WW8Num2z0"/>
    <w:rsid w:val="009951C6"/>
    <w:rPr>
      <w:rFonts w:ascii="Symbol" w:hAnsi="Symbol"/>
    </w:rPr>
  </w:style>
  <w:style w:type="character" w:customStyle="1" w:styleId="WW8Num3z0">
    <w:name w:val="WW8Num3z0"/>
    <w:rsid w:val="009951C6"/>
    <w:rPr>
      <w:rFonts w:ascii="Times New Roman" w:eastAsia="Times New Roman" w:hAnsi="Times New Roman" w:cs="Times New Roman"/>
    </w:rPr>
  </w:style>
  <w:style w:type="character" w:customStyle="1" w:styleId="WW8Num3z1">
    <w:name w:val="WW8Num3z1"/>
    <w:rsid w:val="009951C6"/>
    <w:rPr>
      <w:rFonts w:ascii="Courier New" w:hAnsi="Courier New"/>
    </w:rPr>
  </w:style>
  <w:style w:type="character" w:customStyle="1" w:styleId="WW8Num3z2">
    <w:name w:val="WW8Num3z2"/>
    <w:rsid w:val="009951C6"/>
    <w:rPr>
      <w:rFonts w:ascii="Wingdings" w:hAnsi="Wingdings"/>
    </w:rPr>
  </w:style>
  <w:style w:type="character" w:customStyle="1" w:styleId="WW8Num3z3">
    <w:name w:val="WW8Num3z3"/>
    <w:rsid w:val="009951C6"/>
    <w:rPr>
      <w:rFonts w:ascii="Symbol" w:hAnsi="Symbol"/>
    </w:rPr>
  </w:style>
  <w:style w:type="character" w:customStyle="1" w:styleId="WW8Num4z0">
    <w:name w:val="WW8Num4z0"/>
    <w:rsid w:val="009951C6"/>
    <w:rPr>
      <w:rFonts w:ascii="Symbol" w:hAnsi="Symbol"/>
    </w:rPr>
  </w:style>
  <w:style w:type="character" w:customStyle="1" w:styleId="WW8Num6z0">
    <w:name w:val="WW8Num6z0"/>
    <w:rsid w:val="009951C6"/>
    <w:rPr>
      <w:rFonts w:ascii="Times New Roman" w:eastAsia="Times New Roman" w:hAnsi="Times New Roman" w:cs="Times New Roman"/>
    </w:rPr>
  </w:style>
  <w:style w:type="character" w:customStyle="1" w:styleId="WW8Num6z1">
    <w:name w:val="WW8Num6z1"/>
    <w:rsid w:val="009951C6"/>
    <w:rPr>
      <w:rFonts w:ascii="Symbol" w:eastAsia="Times New Roman" w:hAnsi="Symbol" w:cs="Times New Roman"/>
    </w:rPr>
  </w:style>
  <w:style w:type="character" w:customStyle="1" w:styleId="WW8Num6z2">
    <w:name w:val="WW8Num6z2"/>
    <w:rsid w:val="009951C6"/>
    <w:rPr>
      <w:rFonts w:ascii="Wingdings" w:hAnsi="Wingdings"/>
    </w:rPr>
  </w:style>
  <w:style w:type="character" w:customStyle="1" w:styleId="WW8Num6z3">
    <w:name w:val="WW8Num6z3"/>
    <w:rsid w:val="009951C6"/>
    <w:rPr>
      <w:rFonts w:ascii="Symbol" w:hAnsi="Symbol"/>
    </w:rPr>
  </w:style>
  <w:style w:type="character" w:customStyle="1" w:styleId="WW8Num6z4">
    <w:name w:val="WW8Num6z4"/>
    <w:rsid w:val="009951C6"/>
    <w:rPr>
      <w:rFonts w:ascii="Courier New" w:hAnsi="Courier New"/>
    </w:rPr>
  </w:style>
  <w:style w:type="character" w:customStyle="1" w:styleId="WW8Num7z0">
    <w:name w:val="WW8Num7z0"/>
    <w:rsid w:val="009951C6"/>
    <w:rPr>
      <w:color w:val="auto"/>
    </w:rPr>
  </w:style>
  <w:style w:type="character" w:customStyle="1" w:styleId="WW8Num10z0">
    <w:name w:val="WW8Num10z0"/>
    <w:rsid w:val="009951C6"/>
    <w:rPr>
      <w:color w:val="auto"/>
    </w:rPr>
  </w:style>
  <w:style w:type="character" w:customStyle="1" w:styleId="WW8Num11z0">
    <w:name w:val="WW8Num11z0"/>
    <w:rsid w:val="009951C6"/>
    <w:rPr>
      <w:color w:val="auto"/>
    </w:rPr>
  </w:style>
  <w:style w:type="character" w:customStyle="1" w:styleId="WW8Num12z0">
    <w:name w:val="WW8Num12z0"/>
    <w:rsid w:val="009951C6"/>
    <w:rPr>
      <w:rFonts w:ascii="Times New Roman" w:eastAsia="Times New Roman" w:hAnsi="Times New Roman" w:cs="Times New Roman"/>
    </w:rPr>
  </w:style>
  <w:style w:type="character" w:customStyle="1" w:styleId="WW8Num12z1">
    <w:name w:val="WW8Num12z1"/>
    <w:rsid w:val="009951C6"/>
    <w:rPr>
      <w:rFonts w:ascii="Courier New" w:hAnsi="Courier New"/>
    </w:rPr>
  </w:style>
  <w:style w:type="character" w:customStyle="1" w:styleId="WW8Num12z2">
    <w:name w:val="WW8Num12z2"/>
    <w:rsid w:val="009951C6"/>
    <w:rPr>
      <w:rFonts w:ascii="Wingdings" w:hAnsi="Wingdings"/>
    </w:rPr>
  </w:style>
  <w:style w:type="character" w:customStyle="1" w:styleId="WW8Num12z3">
    <w:name w:val="WW8Num12z3"/>
    <w:rsid w:val="009951C6"/>
    <w:rPr>
      <w:rFonts w:ascii="Symbol" w:hAnsi="Symbol"/>
    </w:rPr>
  </w:style>
  <w:style w:type="character" w:customStyle="1" w:styleId="WW8Num13z0">
    <w:name w:val="WW8Num13z0"/>
    <w:rsid w:val="009951C6"/>
    <w:rPr>
      <w:rFonts w:ascii="Times New Roman" w:eastAsia="Times New Roman" w:hAnsi="Times New Roman" w:cs="Times New Roman"/>
    </w:rPr>
  </w:style>
  <w:style w:type="character" w:customStyle="1" w:styleId="WW8Num13z1">
    <w:name w:val="WW8Num13z1"/>
    <w:rsid w:val="009951C6"/>
    <w:rPr>
      <w:rFonts w:ascii="Courier New" w:hAnsi="Courier New" w:cs="Courier New"/>
    </w:rPr>
  </w:style>
  <w:style w:type="character" w:customStyle="1" w:styleId="WW8Num13z2">
    <w:name w:val="WW8Num13z2"/>
    <w:rsid w:val="009951C6"/>
    <w:rPr>
      <w:rFonts w:ascii="Wingdings" w:hAnsi="Wingdings"/>
    </w:rPr>
  </w:style>
  <w:style w:type="character" w:customStyle="1" w:styleId="WW8Num13z3">
    <w:name w:val="WW8Num13z3"/>
    <w:rsid w:val="009951C6"/>
    <w:rPr>
      <w:rFonts w:ascii="Symbol" w:hAnsi="Symbol"/>
    </w:rPr>
  </w:style>
  <w:style w:type="character" w:customStyle="1" w:styleId="WW8Num20z0">
    <w:name w:val="WW8Num20z0"/>
    <w:rsid w:val="009951C6"/>
    <w:rPr>
      <w:rFonts w:ascii="Times New Roman" w:eastAsia="Times New Roman" w:hAnsi="Times New Roman" w:cs="Times New Roman"/>
    </w:rPr>
  </w:style>
  <w:style w:type="character" w:customStyle="1" w:styleId="WW8Num20z1">
    <w:name w:val="WW8Num20z1"/>
    <w:rsid w:val="009951C6"/>
    <w:rPr>
      <w:rFonts w:ascii="Courier New" w:hAnsi="Courier New" w:cs="Courier New"/>
    </w:rPr>
  </w:style>
  <w:style w:type="character" w:customStyle="1" w:styleId="WW8Num20z2">
    <w:name w:val="WW8Num20z2"/>
    <w:rsid w:val="009951C6"/>
    <w:rPr>
      <w:rFonts w:ascii="Wingdings" w:hAnsi="Wingdings"/>
    </w:rPr>
  </w:style>
  <w:style w:type="character" w:customStyle="1" w:styleId="WW8Num20z3">
    <w:name w:val="WW8Num20z3"/>
    <w:rsid w:val="009951C6"/>
    <w:rPr>
      <w:rFonts w:ascii="Symbol" w:hAnsi="Symbol"/>
    </w:rPr>
  </w:style>
  <w:style w:type="character" w:customStyle="1" w:styleId="WW8Num21z0">
    <w:name w:val="WW8Num21z0"/>
    <w:rsid w:val="009951C6"/>
    <w:rPr>
      <w:rFonts w:ascii="Times New Roman" w:eastAsia="Times New Roman" w:hAnsi="Times New Roman" w:cs="Times New Roman"/>
    </w:rPr>
  </w:style>
  <w:style w:type="character" w:customStyle="1" w:styleId="WW8Num21z1">
    <w:name w:val="WW8Num21z1"/>
    <w:rsid w:val="009951C6"/>
    <w:rPr>
      <w:rFonts w:ascii="Courier New" w:hAnsi="Courier New" w:cs="Courier New"/>
    </w:rPr>
  </w:style>
  <w:style w:type="character" w:customStyle="1" w:styleId="WW8Num21z2">
    <w:name w:val="WW8Num21z2"/>
    <w:rsid w:val="009951C6"/>
    <w:rPr>
      <w:rFonts w:ascii="Wingdings" w:hAnsi="Wingdings"/>
    </w:rPr>
  </w:style>
  <w:style w:type="character" w:customStyle="1" w:styleId="WW8Num21z3">
    <w:name w:val="WW8Num21z3"/>
    <w:rsid w:val="009951C6"/>
    <w:rPr>
      <w:rFonts w:ascii="Symbol" w:hAnsi="Symbol"/>
    </w:rPr>
  </w:style>
  <w:style w:type="character" w:customStyle="1" w:styleId="Policepardfaut1">
    <w:name w:val="Police par défaut1"/>
    <w:rsid w:val="009951C6"/>
  </w:style>
  <w:style w:type="character" w:styleId="LineNumber">
    <w:name w:val="line number"/>
    <w:basedOn w:val="Policepardfaut1"/>
    <w:rsid w:val="009951C6"/>
  </w:style>
  <w:style w:type="character" w:styleId="Hyperlink">
    <w:name w:val="Hyperlink"/>
    <w:rsid w:val="009951C6"/>
    <w:rPr>
      <w:color w:val="0000FF"/>
      <w:u w:val="single"/>
    </w:rPr>
  </w:style>
  <w:style w:type="character" w:customStyle="1" w:styleId="Retraitcorpsdetexte2Car">
    <w:name w:val="Retrait corps de texte 2 Car"/>
    <w:rsid w:val="009951C6"/>
    <w:rPr>
      <w:sz w:val="24"/>
      <w:szCs w:val="24"/>
      <w:lang w:val="en-GB" w:eastAsia="ar-SA" w:bidi="ar-SA"/>
    </w:rPr>
  </w:style>
  <w:style w:type="character" w:customStyle="1" w:styleId="fieldlabel">
    <w:name w:val="fieldlabel"/>
    <w:basedOn w:val="Policepardfaut1"/>
    <w:rsid w:val="009951C6"/>
  </w:style>
  <w:style w:type="character" w:styleId="PageNumber">
    <w:name w:val="page number"/>
    <w:basedOn w:val="Policepardfaut1"/>
    <w:rsid w:val="009951C6"/>
  </w:style>
  <w:style w:type="character" w:customStyle="1" w:styleId="CarCar">
    <w:name w:val="Car Car"/>
    <w:rsid w:val="009951C6"/>
    <w:rPr>
      <w:sz w:val="24"/>
      <w:szCs w:val="24"/>
      <w:lang w:val="en-GB" w:eastAsia="ar-SA" w:bidi="ar-SA"/>
    </w:rPr>
  </w:style>
  <w:style w:type="character" w:customStyle="1" w:styleId="Marquedecommentaire1">
    <w:name w:val="Marque de commentaire1"/>
    <w:rsid w:val="009951C6"/>
    <w:rPr>
      <w:sz w:val="16"/>
      <w:szCs w:val="16"/>
    </w:rPr>
  </w:style>
  <w:style w:type="paragraph" w:customStyle="1" w:styleId="Titre1">
    <w:name w:val="Titre1"/>
    <w:basedOn w:val="Normal"/>
    <w:next w:val="BodyText"/>
    <w:rsid w:val="009951C6"/>
    <w:pPr>
      <w:keepNext/>
      <w:spacing w:before="240" w:after="120"/>
    </w:pPr>
    <w:rPr>
      <w:rFonts w:ascii="Arial" w:eastAsia="MS Mincho" w:hAnsi="Arial" w:cs="Tahoma"/>
      <w:sz w:val="28"/>
      <w:szCs w:val="28"/>
    </w:rPr>
  </w:style>
  <w:style w:type="paragraph" w:styleId="BodyText">
    <w:name w:val="Body Text"/>
    <w:basedOn w:val="Normal"/>
    <w:link w:val="BodyTextChar"/>
    <w:rsid w:val="009951C6"/>
    <w:pPr>
      <w:tabs>
        <w:tab w:val="left" w:pos="284"/>
      </w:tabs>
    </w:pPr>
    <w:rPr>
      <w:lang w:val="de-DE"/>
    </w:rPr>
  </w:style>
  <w:style w:type="character" w:customStyle="1" w:styleId="BodyTextChar">
    <w:name w:val="Body Text Char"/>
    <w:basedOn w:val="DefaultParagraphFont"/>
    <w:link w:val="BodyText"/>
    <w:rsid w:val="009951C6"/>
    <w:rPr>
      <w:rFonts w:ascii="Times New Roman" w:eastAsia="Times New Roman" w:hAnsi="Times New Roman" w:cs="Times New Roman"/>
      <w:sz w:val="24"/>
      <w:szCs w:val="24"/>
      <w:lang w:val="de-DE" w:eastAsia="ar-SA"/>
    </w:rPr>
  </w:style>
  <w:style w:type="paragraph" w:styleId="List">
    <w:name w:val="List"/>
    <w:basedOn w:val="BodyText"/>
    <w:rsid w:val="009951C6"/>
    <w:rPr>
      <w:rFonts w:cs="Tahoma"/>
    </w:rPr>
  </w:style>
  <w:style w:type="paragraph" w:customStyle="1" w:styleId="Lgende1">
    <w:name w:val="Légende1"/>
    <w:basedOn w:val="Normal"/>
    <w:next w:val="Normal"/>
    <w:rsid w:val="009951C6"/>
    <w:pPr>
      <w:spacing w:line="480" w:lineRule="auto"/>
      <w:jc w:val="center"/>
    </w:pPr>
    <w:rPr>
      <w:i/>
      <w:iCs/>
      <w:lang w:val="en-GB"/>
    </w:rPr>
  </w:style>
  <w:style w:type="paragraph" w:customStyle="1" w:styleId="Rpertoire">
    <w:name w:val="Répertoire"/>
    <w:basedOn w:val="Normal"/>
    <w:rsid w:val="009951C6"/>
    <w:pPr>
      <w:suppressLineNumbers/>
    </w:pPr>
    <w:rPr>
      <w:rFonts w:cs="Tahoma"/>
    </w:rPr>
  </w:style>
  <w:style w:type="paragraph" w:styleId="BodyTextIndent">
    <w:name w:val="Body Text Indent"/>
    <w:basedOn w:val="Normal"/>
    <w:link w:val="BodyTextIndentChar"/>
    <w:rsid w:val="009951C6"/>
    <w:pPr>
      <w:spacing w:line="480" w:lineRule="auto"/>
      <w:ind w:firstLine="709"/>
      <w:jc w:val="both"/>
    </w:pPr>
    <w:rPr>
      <w:lang w:val="en-US"/>
    </w:rPr>
  </w:style>
  <w:style w:type="character" w:customStyle="1" w:styleId="BodyTextIndentChar">
    <w:name w:val="Body Text Indent Char"/>
    <w:basedOn w:val="DefaultParagraphFont"/>
    <w:link w:val="BodyTextIndent"/>
    <w:rsid w:val="009951C6"/>
    <w:rPr>
      <w:rFonts w:ascii="Times New Roman" w:eastAsia="Times New Roman" w:hAnsi="Times New Roman" w:cs="Times New Roman"/>
      <w:sz w:val="24"/>
      <w:szCs w:val="24"/>
      <w:lang w:val="en-US" w:eastAsia="ar-SA"/>
    </w:rPr>
  </w:style>
  <w:style w:type="paragraph" w:customStyle="1" w:styleId="Chapitre">
    <w:name w:val="Chapitre"/>
    <w:basedOn w:val="Normal"/>
    <w:rsid w:val="009951C6"/>
    <w:pPr>
      <w:pBdr>
        <w:top w:val="single" w:sz="4" w:space="1" w:color="000000"/>
        <w:left w:val="single" w:sz="4" w:space="4" w:color="000000"/>
        <w:bottom w:val="single" w:sz="4" w:space="1" w:color="000000"/>
        <w:right w:val="single" w:sz="4" w:space="4" w:color="000000"/>
      </w:pBdr>
      <w:tabs>
        <w:tab w:val="left" w:pos="284"/>
      </w:tabs>
      <w:jc w:val="center"/>
    </w:pPr>
    <w:rPr>
      <w:b/>
      <w:bCs/>
      <w:sz w:val="28"/>
      <w:szCs w:val="28"/>
      <w:lang w:val="de-DE"/>
    </w:rPr>
  </w:style>
  <w:style w:type="paragraph" w:customStyle="1" w:styleId="Corpsdetexte21">
    <w:name w:val="Corps de texte 21"/>
    <w:basedOn w:val="Normal"/>
    <w:rsid w:val="009951C6"/>
    <w:pPr>
      <w:spacing w:line="480" w:lineRule="auto"/>
      <w:jc w:val="both"/>
    </w:pPr>
    <w:rPr>
      <w:lang w:val="en-GB"/>
    </w:rPr>
  </w:style>
  <w:style w:type="paragraph" w:customStyle="1" w:styleId="Corpsdetexte31">
    <w:name w:val="Corps de texte 31"/>
    <w:basedOn w:val="Normal"/>
    <w:rsid w:val="009951C6"/>
    <w:pPr>
      <w:spacing w:line="480" w:lineRule="auto"/>
      <w:jc w:val="center"/>
    </w:pPr>
    <w:rPr>
      <w:lang w:val="en-GB"/>
    </w:rPr>
  </w:style>
  <w:style w:type="paragraph" w:styleId="Title">
    <w:name w:val="Title"/>
    <w:basedOn w:val="Normal"/>
    <w:next w:val="Subtitle"/>
    <w:link w:val="TitleChar"/>
    <w:qFormat/>
    <w:rsid w:val="009951C6"/>
    <w:pPr>
      <w:jc w:val="center"/>
    </w:pPr>
    <w:rPr>
      <w:b/>
      <w:sz w:val="28"/>
      <w:szCs w:val="20"/>
    </w:rPr>
  </w:style>
  <w:style w:type="character" w:customStyle="1" w:styleId="TitleChar">
    <w:name w:val="Title Char"/>
    <w:basedOn w:val="DefaultParagraphFont"/>
    <w:link w:val="Title"/>
    <w:rsid w:val="009951C6"/>
    <w:rPr>
      <w:rFonts w:ascii="Times New Roman" w:eastAsia="Times New Roman" w:hAnsi="Times New Roman" w:cs="Times New Roman"/>
      <w:b/>
      <w:sz w:val="28"/>
      <w:szCs w:val="20"/>
      <w:lang w:val="fr-FR" w:eastAsia="ar-SA"/>
    </w:rPr>
  </w:style>
  <w:style w:type="paragraph" w:styleId="Subtitle">
    <w:name w:val="Subtitle"/>
    <w:basedOn w:val="Titre1"/>
    <w:next w:val="BodyText"/>
    <w:link w:val="SubtitleChar"/>
    <w:qFormat/>
    <w:rsid w:val="009951C6"/>
    <w:pPr>
      <w:jc w:val="center"/>
    </w:pPr>
    <w:rPr>
      <w:i/>
      <w:iCs/>
    </w:rPr>
  </w:style>
  <w:style w:type="character" w:customStyle="1" w:styleId="SubtitleChar">
    <w:name w:val="Subtitle Char"/>
    <w:basedOn w:val="DefaultParagraphFont"/>
    <w:link w:val="Subtitle"/>
    <w:rsid w:val="009951C6"/>
    <w:rPr>
      <w:rFonts w:ascii="Arial" w:eastAsia="MS Mincho" w:hAnsi="Arial" w:cs="Tahoma"/>
      <w:i/>
      <w:iCs/>
      <w:sz w:val="28"/>
      <w:szCs w:val="28"/>
      <w:lang w:val="fr-FR" w:eastAsia="ar-SA"/>
    </w:rPr>
  </w:style>
  <w:style w:type="paragraph" w:customStyle="1" w:styleId="figures">
    <w:name w:val="figures"/>
    <w:basedOn w:val="Normal"/>
    <w:rsid w:val="009951C6"/>
    <w:pPr>
      <w:ind w:left="567" w:right="662"/>
      <w:jc w:val="both"/>
    </w:pPr>
    <w:rPr>
      <w:b/>
      <w:bCs/>
      <w:lang w:val="en-GB"/>
    </w:rPr>
  </w:style>
  <w:style w:type="paragraph" w:customStyle="1" w:styleId="Style2">
    <w:name w:val="Style2"/>
    <w:basedOn w:val="Normal"/>
    <w:rsid w:val="009951C6"/>
    <w:rPr>
      <w:b/>
      <w:bCs/>
      <w:lang w:val="en-GB"/>
    </w:rPr>
  </w:style>
  <w:style w:type="paragraph" w:customStyle="1" w:styleId="Retraitcorpsdetexte21">
    <w:name w:val="Retrait corps de texte 21"/>
    <w:basedOn w:val="Normal"/>
    <w:rsid w:val="009951C6"/>
    <w:pPr>
      <w:spacing w:line="480" w:lineRule="auto"/>
      <w:ind w:firstLine="708"/>
    </w:pPr>
    <w:rPr>
      <w:lang w:val="en-GB"/>
    </w:rPr>
  </w:style>
  <w:style w:type="paragraph" w:styleId="TOC1">
    <w:name w:val="toc 1"/>
    <w:basedOn w:val="Normal"/>
    <w:next w:val="Normal"/>
    <w:semiHidden/>
    <w:rsid w:val="009951C6"/>
    <w:pPr>
      <w:tabs>
        <w:tab w:val="right" w:leader="dot" w:pos="9062"/>
      </w:tabs>
    </w:pPr>
    <w:rPr>
      <w:lang w:val="en-GB"/>
    </w:rPr>
  </w:style>
  <w:style w:type="paragraph" w:styleId="BalloonText">
    <w:name w:val="Balloon Text"/>
    <w:basedOn w:val="Normal"/>
    <w:link w:val="BalloonTextChar"/>
    <w:rsid w:val="009951C6"/>
    <w:rPr>
      <w:rFonts w:ascii="Tahoma" w:hAnsi="Tahoma" w:cs="Tahoma"/>
      <w:sz w:val="16"/>
      <w:szCs w:val="16"/>
    </w:rPr>
  </w:style>
  <w:style w:type="character" w:customStyle="1" w:styleId="BalloonTextChar">
    <w:name w:val="Balloon Text Char"/>
    <w:basedOn w:val="DefaultParagraphFont"/>
    <w:link w:val="BalloonText"/>
    <w:rsid w:val="009951C6"/>
    <w:rPr>
      <w:rFonts w:ascii="Tahoma" w:eastAsia="Times New Roman" w:hAnsi="Tahoma" w:cs="Tahoma"/>
      <w:sz w:val="16"/>
      <w:szCs w:val="16"/>
      <w:lang w:val="fr-FR" w:eastAsia="ar-SA"/>
    </w:rPr>
  </w:style>
  <w:style w:type="paragraph" w:styleId="Header">
    <w:name w:val="header"/>
    <w:basedOn w:val="Normal"/>
    <w:link w:val="HeaderChar"/>
    <w:rsid w:val="009951C6"/>
    <w:pPr>
      <w:tabs>
        <w:tab w:val="center" w:pos="4536"/>
        <w:tab w:val="right" w:pos="9072"/>
      </w:tabs>
    </w:pPr>
  </w:style>
  <w:style w:type="character" w:customStyle="1" w:styleId="HeaderChar">
    <w:name w:val="Header Char"/>
    <w:basedOn w:val="DefaultParagraphFont"/>
    <w:link w:val="Header"/>
    <w:rsid w:val="009951C6"/>
    <w:rPr>
      <w:rFonts w:ascii="Times New Roman" w:eastAsia="Times New Roman" w:hAnsi="Times New Roman" w:cs="Times New Roman"/>
      <w:sz w:val="24"/>
      <w:szCs w:val="24"/>
      <w:lang w:val="fr-FR" w:eastAsia="ar-SA"/>
    </w:rPr>
  </w:style>
  <w:style w:type="paragraph" w:customStyle="1" w:styleId="Commentaire1">
    <w:name w:val="Commentaire1"/>
    <w:basedOn w:val="Normal"/>
    <w:rsid w:val="009951C6"/>
    <w:rPr>
      <w:sz w:val="20"/>
      <w:szCs w:val="20"/>
    </w:rPr>
  </w:style>
  <w:style w:type="paragraph" w:customStyle="1" w:styleId="CM66">
    <w:name w:val="CM66"/>
    <w:basedOn w:val="Normal"/>
    <w:next w:val="Normal"/>
    <w:rsid w:val="009951C6"/>
    <w:pPr>
      <w:autoSpaceDE w:val="0"/>
      <w:spacing w:after="618"/>
    </w:pPr>
    <w:rPr>
      <w:sz w:val="20"/>
    </w:rPr>
  </w:style>
  <w:style w:type="paragraph" w:styleId="CommentText">
    <w:name w:val="annotation text"/>
    <w:basedOn w:val="Normal"/>
    <w:link w:val="CommentTextChar"/>
    <w:semiHidden/>
    <w:rsid w:val="009951C6"/>
    <w:rPr>
      <w:sz w:val="20"/>
      <w:szCs w:val="20"/>
    </w:rPr>
  </w:style>
  <w:style w:type="character" w:customStyle="1" w:styleId="CommentTextChar">
    <w:name w:val="Comment Text Char"/>
    <w:link w:val="CommentText"/>
    <w:semiHidden/>
    <w:rsid w:val="009951C6"/>
    <w:rPr>
      <w:rFonts w:ascii="Times New Roman" w:eastAsia="Times New Roman" w:hAnsi="Times New Roman" w:cs="Times New Roman"/>
      <w:sz w:val="20"/>
      <w:szCs w:val="20"/>
      <w:lang w:val="fr-FR" w:eastAsia="ar-SA"/>
    </w:rPr>
  </w:style>
  <w:style w:type="paragraph" w:styleId="CommentSubject">
    <w:name w:val="annotation subject"/>
    <w:basedOn w:val="Commentaire1"/>
    <w:next w:val="Commentaire1"/>
    <w:link w:val="CommentSubjectChar"/>
    <w:rsid w:val="009951C6"/>
    <w:rPr>
      <w:b/>
      <w:bCs/>
    </w:rPr>
  </w:style>
  <w:style w:type="character" w:customStyle="1" w:styleId="CommentSubjectChar">
    <w:name w:val="Comment Subject Char"/>
    <w:basedOn w:val="CommentTextChar"/>
    <w:link w:val="CommentSubject"/>
    <w:rsid w:val="009951C6"/>
    <w:rPr>
      <w:rFonts w:ascii="Times New Roman" w:eastAsia="Times New Roman" w:hAnsi="Times New Roman" w:cs="Times New Roman"/>
      <w:b/>
      <w:bCs/>
      <w:sz w:val="20"/>
      <w:szCs w:val="20"/>
      <w:lang w:val="fr-FR" w:eastAsia="ar-SA"/>
    </w:rPr>
  </w:style>
  <w:style w:type="paragraph" w:customStyle="1" w:styleId="Retraitcorpsdetexte31">
    <w:name w:val="Retrait corps de texte 31"/>
    <w:basedOn w:val="Normal"/>
    <w:rsid w:val="009951C6"/>
    <w:pPr>
      <w:spacing w:line="480" w:lineRule="auto"/>
      <w:ind w:firstLine="708"/>
      <w:jc w:val="both"/>
    </w:pPr>
    <w:rPr>
      <w:lang w:val="en-GB"/>
    </w:rPr>
  </w:style>
  <w:style w:type="paragraph" w:customStyle="1" w:styleId="Contenuducadre">
    <w:name w:val="Contenu du cadre"/>
    <w:basedOn w:val="BodyText"/>
    <w:rsid w:val="009951C6"/>
  </w:style>
  <w:style w:type="character" w:styleId="CommentReference">
    <w:name w:val="annotation reference"/>
    <w:semiHidden/>
    <w:rsid w:val="009951C6"/>
    <w:rPr>
      <w:sz w:val="16"/>
      <w:szCs w:val="16"/>
    </w:rPr>
  </w:style>
  <w:style w:type="paragraph" w:customStyle="1" w:styleId="Default">
    <w:name w:val="Default"/>
    <w:rsid w:val="009951C6"/>
    <w:pPr>
      <w:autoSpaceDE w:val="0"/>
      <w:autoSpaceDN w:val="0"/>
      <w:adjustRightInd w:val="0"/>
      <w:spacing w:after="0" w:line="240" w:lineRule="auto"/>
    </w:pPr>
    <w:rPr>
      <w:rFonts w:ascii="Calibri" w:eastAsia="Times New Roman" w:hAnsi="Calibri" w:cs="Calibri"/>
      <w:color w:val="000000"/>
      <w:sz w:val="24"/>
      <w:szCs w:val="24"/>
      <w:lang w:val="fr-FR" w:eastAsia="fr-FR"/>
    </w:rPr>
  </w:style>
  <w:style w:type="paragraph" w:styleId="FootnoteText">
    <w:name w:val="footnote text"/>
    <w:basedOn w:val="Normal"/>
    <w:link w:val="FootnoteTextChar"/>
    <w:rsid w:val="009951C6"/>
    <w:rPr>
      <w:sz w:val="20"/>
      <w:szCs w:val="20"/>
      <w:lang w:val="x-none"/>
    </w:rPr>
  </w:style>
  <w:style w:type="character" w:customStyle="1" w:styleId="FootnoteTextChar">
    <w:name w:val="Footnote Text Char"/>
    <w:link w:val="FootnoteText"/>
    <w:rsid w:val="009951C6"/>
    <w:rPr>
      <w:rFonts w:ascii="Times New Roman" w:eastAsia="Times New Roman" w:hAnsi="Times New Roman" w:cs="Times New Roman"/>
      <w:sz w:val="20"/>
      <w:szCs w:val="20"/>
      <w:lang w:val="x-none" w:eastAsia="ar-SA"/>
    </w:rPr>
  </w:style>
  <w:style w:type="character" w:styleId="FootnoteReference">
    <w:name w:val="footnote reference"/>
    <w:rsid w:val="009951C6"/>
    <w:rPr>
      <w:vertAlign w:val="superscript"/>
    </w:rPr>
  </w:style>
  <w:style w:type="paragraph" w:styleId="NormalWeb">
    <w:name w:val="Normal (Web)"/>
    <w:basedOn w:val="Normal"/>
    <w:uiPriority w:val="99"/>
    <w:unhideWhenUsed/>
    <w:rsid w:val="009951C6"/>
    <w:pPr>
      <w:suppressAutoHyphens w:val="0"/>
      <w:spacing w:before="100" w:beforeAutospacing="1" w:after="100" w:afterAutospacing="1"/>
    </w:pPr>
    <w:rPr>
      <w:lang w:eastAsia="fr-FR"/>
    </w:rPr>
  </w:style>
  <w:style w:type="character" w:styleId="Emphasis">
    <w:name w:val="Emphasis"/>
    <w:uiPriority w:val="20"/>
    <w:qFormat/>
    <w:rsid w:val="009951C6"/>
    <w:rPr>
      <w:i/>
      <w:iCs/>
    </w:rPr>
  </w:style>
  <w:style w:type="paragraph" w:customStyle="1" w:styleId="EndNoteBibliographyTitle">
    <w:name w:val="EndNote Bibliography Title"/>
    <w:basedOn w:val="Normal"/>
    <w:link w:val="EndNoteBibliographyTitleZchn"/>
    <w:rsid w:val="009951C6"/>
    <w:pPr>
      <w:jc w:val="center"/>
    </w:pPr>
    <w:rPr>
      <w:noProof/>
    </w:rPr>
  </w:style>
  <w:style w:type="character" w:customStyle="1" w:styleId="EndNoteBibliographyTitleZchn">
    <w:name w:val="EndNote Bibliography Title Zchn"/>
    <w:link w:val="EndNoteBibliographyTitle"/>
    <w:rsid w:val="009951C6"/>
    <w:rPr>
      <w:rFonts w:ascii="Times New Roman" w:eastAsia="Times New Roman" w:hAnsi="Times New Roman" w:cs="Times New Roman"/>
      <w:noProof/>
      <w:sz w:val="24"/>
      <w:szCs w:val="24"/>
      <w:lang w:val="fr-FR" w:eastAsia="ar-SA"/>
    </w:rPr>
  </w:style>
  <w:style w:type="paragraph" w:customStyle="1" w:styleId="EndNoteBibliography">
    <w:name w:val="EndNote Bibliography"/>
    <w:basedOn w:val="Normal"/>
    <w:link w:val="EndNoteBibliographyZchn"/>
    <w:rsid w:val="009951C6"/>
    <w:rPr>
      <w:noProof/>
    </w:rPr>
  </w:style>
  <w:style w:type="character" w:customStyle="1" w:styleId="EndNoteBibliographyZchn">
    <w:name w:val="EndNote Bibliography Zchn"/>
    <w:link w:val="EndNoteBibliography"/>
    <w:rsid w:val="009951C6"/>
    <w:rPr>
      <w:rFonts w:ascii="Times New Roman" w:eastAsia="Times New Roman" w:hAnsi="Times New Roman" w:cs="Times New Roman"/>
      <w:noProof/>
      <w:sz w:val="24"/>
      <w:szCs w:val="24"/>
      <w:lang w:val="fr-FR" w:eastAsia="ar-SA"/>
    </w:rPr>
  </w:style>
  <w:style w:type="paragraph" w:styleId="ListParagraph">
    <w:name w:val="List Paragraph"/>
    <w:basedOn w:val="Normal"/>
    <w:uiPriority w:val="34"/>
    <w:qFormat/>
    <w:rsid w:val="009951C6"/>
    <w:pPr>
      <w:ind w:left="720"/>
    </w:pPr>
  </w:style>
  <w:style w:type="table" w:styleId="TableGrid">
    <w:name w:val="Table Grid"/>
    <w:basedOn w:val="TableNormal"/>
    <w:uiPriority w:val="59"/>
    <w:rsid w:val="0099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9951C6"/>
    <w:pPr>
      <w:suppressAutoHyphens/>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9951C6"/>
    <w:pPr>
      <w:suppressAutoHyphens/>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1">
    <w:name w:val="Tabellenraster1"/>
    <w:basedOn w:val="TableNormal"/>
    <w:next w:val="TableGrid"/>
    <w:uiPriority w:val="59"/>
    <w:rsid w:val="009951C6"/>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951C6"/>
    <w:pPr>
      <w:spacing w:after="0" w:line="240" w:lineRule="auto"/>
    </w:pPr>
    <w:rPr>
      <w:rFonts w:ascii="Calibri" w:eastAsia="Times New Roman" w:hAnsi="Calibri" w:cs="Times New Roman"/>
      <w:lang w:val="de-DE" w:eastAsia="de-DE"/>
    </w:rPr>
  </w:style>
  <w:style w:type="character" w:customStyle="1" w:styleId="NoSpacingChar">
    <w:name w:val="No Spacing Char"/>
    <w:link w:val="NoSpacing"/>
    <w:uiPriority w:val="1"/>
    <w:rsid w:val="009951C6"/>
    <w:rPr>
      <w:rFonts w:ascii="Calibri" w:eastAsia="Times New Roman" w:hAnsi="Calibri" w:cs="Times New Roman"/>
      <w:lang w:val="de-DE" w:eastAsia="de-DE"/>
    </w:rPr>
  </w:style>
  <w:style w:type="table" w:customStyle="1" w:styleId="Tabellenraster2">
    <w:name w:val="Tabellenraster2"/>
    <w:basedOn w:val="TableNormal"/>
    <w:next w:val="TableGrid"/>
    <w:uiPriority w:val="59"/>
    <w:rsid w:val="0099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951C6"/>
    <w:pPr>
      <w:tabs>
        <w:tab w:val="center" w:pos="4536"/>
        <w:tab w:val="right" w:pos="9072"/>
      </w:tabs>
    </w:pPr>
  </w:style>
  <w:style w:type="character" w:customStyle="1" w:styleId="FooterChar">
    <w:name w:val="Footer Char"/>
    <w:link w:val="Footer"/>
    <w:uiPriority w:val="99"/>
    <w:rsid w:val="009951C6"/>
    <w:rPr>
      <w:rFonts w:ascii="Times New Roman" w:eastAsia="Times New Roman" w:hAnsi="Times New Roman" w:cs="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7962">
      <w:bodyDiv w:val="1"/>
      <w:marLeft w:val="0"/>
      <w:marRight w:val="0"/>
      <w:marTop w:val="0"/>
      <w:marBottom w:val="0"/>
      <w:divBdr>
        <w:top w:val="none" w:sz="0" w:space="0" w:color="auto"/>
        <w:left w:val="none" w:sz="0" w:space="0" w:color="auto"/>
        <w:bottom w:val="none" w:sz="0" w:space="0" w:color="auto"/>
        <w:right w:val="none" w:sz="0" w:space="0" w:color="auto"/>
      </w:divBdr>
    </w:div>
    <w:div w:id="92675719">
      <w:bodyDiv w:val="1"/>
      <w:marLeft w:val="0"/>
      <w:marRight w:val="0"/>
      <w:marTop w:val="0"/>
      <w:marBottom w:val="0"/>
      <w:divBdr>
        <w:top w:val="none" w:sz="0" w:space="0" w:color="auto"/>
        <w:left w:val="none" w:sz="0" w:space="0" w:color="auto"/>
        <w:bottom w:val="none" w:sz="0" w:space="0" w:color="auto"/>
        <w:right w:val="none" w:sz="0" w:space="0" w:color="auto"/>
      </w:divBdr>
    </w:div>
    <w:div w:id="135614281">
      <w:bodyDiv w:val="1"/>
      <w:marLeft w:val="0"/>
      <w:marRight w:val="0"/>
      <w:marTop w:val="0"/>
      <w:marBottom w:val="0"/>
      <w:divBdr>
        <w:top w:val="none" w:sz="0" w:space="0" w:color="auto"/>
        <w:left w:val="none" w:sz="0" w:space="0" w:color="auto"/>
        <w:bottom w:val="none" w:sz="0" w:space="0" w:color="auto"/>
        <w:right w:val="none" w:sz="0" w:space="0" w:color="auto"/>
      </w:divBdr>
    </w:div>
    <w:div w:id="358969555">
      <w:bodyDiv w:val="1"/>
      <w:marLeft w:val="0"/>
      <w:marRight w:val="0"/>
      <w:marTop w:val="0"/>
      <w:marBottom w:val="0"/>
      <w:divBdr>
        <w:top w:val="none" w:sz="0" w:space="0" w:color="auto"/>
        <w:left w:val="none" w:sz="0" w:space="0" w:color="auto"/>
        <w:bottom w:val="none" w:sz="0" w:space="0" w:color="auto"/>
        <w:right w:val="none" w:sz="0" w:space="0" w:color="auto"/>
      </w:divBdr>
    </w:div>
    <w:div w:id="382759180">
      <w:bodyDiv w:val="1"/>
      <w:marLeft w:val="0"/>
      <w:marRight w:val="0"/>
      <w:marTop w:val="0"/>
      <w:marBottom w:val="0"/>
      <w:divBdr>
        <w:top w:val="none" w:sz="0" w:space="0" w:color="auto"/>
        <w:left w:val="none" w:sz="0" w:space="0" w:color="auto"/>
        <w:bottom w:val="none" w:sz="0" w:space="0" w:color="auto"/>
        <w:right w:val="none" w:sz="0" w:space="0" w:color="auto"/>
      </w:divBdr>
    </w:div>
    <w:div w:id="414522435">
      <w:bodyDiv w:val="1"/>
      <w:marLeft w:val="0"/>
      <w:marRight w:val="0"/>
      <w:marTop w:val="0"/>
      <w:marBottom w:val="0"/>
      <w:divBdr>
        <w:top w:val="none" w:sz="0" w:space="0" w:color="auto"/>
        <w:left w:val="none" w:sz="0" w:space="0" w:color="auto"/>
        <w:bottom w:val="none" w:sz="0" w:space="0" w:color="auto"/>
        <w:right w:val="none" w:sz="0" w:space="0" w:color="auto"/>
      </w:divBdr>
    </w:div>
    <w:div w:id="449251678">
      <w:bodyDiv w:val="1"/>
      <w:marLeft w:val="0"/>
      <w:marRight w:val="0"/>
      <w:marTop w:val="0"/>
      <w:marBottom w:val="0"/>
      <w:divBdr>
        <w:top w:val="none" w:sz="0" w:space="0" w:color="auto"/>
        <w:left w:val="none" w:sz="0" w:space="0" w:color="auto"/>
        <w:bottom w:val="none" w:sz="0" w:space="0" w:color="auto"/>
        <w:right w:val="none" w:sz="0" w:space="0" w:color="auto"/>
      </w:divBdr>
    </w:div>
    <w:div w:id="484517083">
      <w:bodyDiv w:val="1"/>
      <w:marLeft w:val="0"/>
      <w:marRight w:val="0"/>
      <w:marTop w:val="0"/>
      <w:marBottom w:val="0"/>
      <w:divBdr>
        <w:top w:val="none" w:sz="0" w:space="0" w:color="auto"/>
        <w:left w:val="none" w:sz="0" w:space="0" w:color="auto"/>
        <w:bottom w:val="none" w:sz="0" w:space="0" w:color="auto"/>
        <w:right w:val="none" w:sz="0" w:space="0" w:color="auto"/>
      </w:divBdr>
    </w:div>
    <w:div w:id="499084414">
      <w:bodyDiv w:val="1"/>
      <w:marLeft w:val="0"/>
      <w:marRight w:val="0"/>
      <w:marTop w:val="0"/>
      <w:marBottom w:val="0"/>
      <w:divBdr>
        <w:top w:val="none" w:sz="0" w:space="0" w:color="auto"/>
        <w:left w:val="none" w:sz="0" w:space="0" w:color="auto"/>
        <w:bottom w:val="none" w:sz="0" w:space="0" w:color="auto"/>
        <w:right w:val="none" w:sz="0" w:space="0" w:color="auto"/>
      </w:divBdr>
    </w:div>
    <w:div w:id="646130415">
      <w:bodyDiv w:val="1"/>
      <w:marLeft w:val="0"/>
      <w:marRight w:val="0"/>
      <w:marTop w:val="0"/>
      <w:marBottom w:val="0"/>
      <w:divBdr>
        <w:top w:val="none" w:sz="0" w:space="0" w:color="auto"/>
        <w:left w:val="none" w:sz="0" w:space="0" w:color="auto"/>
        <w:bottom w:val="none" w:sz="0" w:space="0" w:color="auto"/>
        <w:right w:val="none" w:sz="0" w:space="0" w:color="auto"/>
      </w:divBdr>
    </w:div>
    <w:div w:id="687147021">
      <w:bodyDiv w:val="1"/>
      <w:marLeft w:val="0"/>
      <w:marRight w:val="0"/>
      <w:marTop w:val="0"/>
      <w:marBottom w:val="0"/>
      <w:divBdr>
        <w:top w:val="none" w:sz="0" w:space="0" w:color="auto"/>
        <w:left w:val="none" w:sz="0" w:space="0" w:color="auto"/>
        <w:bottom w:val="none" w:sz="0" w:space="0" w:color="auto"/>
        <w:right w:val="none" w:sz="0" w:space="0" w:color="auto"/>
      </w:divBdr>
    </w:div>
    <w:div w:id="765465775">
      <w:bodyDiv w:val="1"/>
      <w:marLeft w:val="0"/>
      <w:marRight w:val="0"/>
      <w:marTop w:val="0"/>
      <w:marBottom w:val="0"/>
      <w:divBdr>
        <w:top w:val="none" w:sz="0" w:space="0" w:color="auto"/>
        <w:left w:val="none" w:sz="0" w:space="0" w:color="auto"/>
        <w:bottom w:val="none" w:sz="0" w:space="0" w:color="auto"/>
        <w:right w:val="none" w:sz="0" w:space="0" w:color="auto"/>
      </w:divBdr>
    </w:div>
    <w:div w:id="773668065">
      <w:bodyDiv w:val="1"/>
      <w:marLeft w:val="0"/>
      <w:marRight w:val="0"/>
      <w:marTop w:val="0"/>
      <w:marBottom w:val="0"/>
      <w:divBdr>
        <w:top w:val="none" w:sz="0" w:space="0" w:color="auto"/>
        <w:left w:val="none" w:sz="0" w:space="0" w:color="auto"/>
        <w:bottom w:val="none" w:sz="0" w:space="0" w:color="auto"/>
        <w:right w:val="none" w:sz="0" w:space="0" w:color="auto"/>
      </w:divBdr>
    </w:div>
    <w:div w:id="846090498">
      <w:bodyDiv w:val="1"/>
      <w:marLeft w:val="0"/>
      <w:marRight w:val="0"/>
      <w:marTop w:val="0"/>
      <w:marBottom w:val="0"/>
      <w:divBdr>
        <w:top w:val="none" w:sz="0" w:space="0" w:color="auto"/>
        <w:left w:val="none" w:sz="0" w:space="0" w:color="auto"/>
        <w:bottom w:val="none" w:sz="0" w:space="0" w:color="auto"/>
        <w:right w:val="none" w:sz="0" w:space="0" w:color="auto"/>
      </w:divBdr>
    </w:div>
    <w:div w:id="930430467">
      <w:bodyDiv w:val="1"/>
      <w:marLeft w:val="0"/>
      <w:marRight w:val="0"/>
      <w:marTop w:val="0"/>
      <w:marBottom w:val="0"/>
      <w:divBdr>
        <w:top w:val="none" w:sz="0" w:space="0" w:color="auto"/>
        <w:left w:val="none" w:sz="0" w:space="0" w:color="auto"/>
        <w:bottom w:val="none" w:sz="0" w:space="0" w:color="auto"/>
        <w:right w:val="none" w:sz="0" w:space="0" w:color="auto"/>
      </w:divBdr>
    </w:div>
    <w:div w:id="1057237796">
      <w:bodyDiv w:val="1"/>
      <w:marLeft w:val="0"/>
      <w:marRight w:val="0"/>
      <w:marTop w:val="0"/>
      <w:marBottom w:val="0"/>
      <w:divBdr>
        <w:top w:val="none" w:sz="0" w:space="0" w:color="auto"/>
        <w:left w:val="none" w:sz="0" w:space="0" w:color="auto"/>
        <w:bottom w:val="none" w:sz="0" w:space="0" w:color="auto"/>
        <w:right w:val="none" w:sz="0" w:space="0" w:color="auto"/>
      </w:divBdr>
    </w:div>
    <w:div w:id="1209300304">
      <w:bodyDiv w:val="1"/>
      <w:marLeft w:val="0"/>
      <w:marRight w:val="0"/>
      <w:marTop w:val="0"/>
      <w:marBottom w:val="0"/>
      <w:divBdr>
        <w:top w:val="none" w:sz="0" w:space="0" w:color="auto"/>
        <w:left w:val="none" w:sz="0" w:space="0" w:color="auto"/>
        <w:bottom w:val="none" w:sz="0" w:space="0" w:color="auto"/>
        <w:right w:val="none" w:sz="0" w:space="0" w:color="auto"/>
      </w:divBdr>
    </w:div>
    <w:div w:id="1322998914">
      <w:bodyDiv w:val="1"/>
      <w:marLeft w:val="0"/>
      <w:marRight w:val="0"/>
      <w:marTop w:val="0"/>
      <w:marBottom w:val="0"/>
      <w:divBdr>
        <w:top w:val="none" w:sz="0" w:space="0" w:color="auto"/>
        <w:left w:val="none" w:sz="0" w:space="0" w:color="auto"/>
        <w:bottom w:val="none" w:sz="0" w:space="0" w:color="auto"/>
        <w:right w:val="none" w:sz="0" w:space="0" w:color="auto"/>
      </w:divBdr>
    </w:div>
    <w:div w:id="1697078683">
      <w:bodyDiv w:val="1"/>
      <w:marLeft w:val="0"/>
      <w:marRight w:val="0"/>
      <w:marTop w:val="0"/>
      <w:marBottom w:val="0"/>
      <w:divBdr>
        <w:top w:val="none" w:sz="0" w:space="0" w:color="auto"/>
        <w:left w:val="none" w:sz="0" w:space="0" w:color="auto"/>
        <w:bottom w:val="none" w:sz="0" w:space="0" w:color="auto"/>
        <w:right w:val="none" w:sz="0" w:space="0" w:color="auto"/>
      </w:divBdr>
    </w:div>
    <w:div w:id="1900898476">
      <w:bodyDiv w:val="1"/>
      <w:marLeft w:val="0"/>
      <w:marRight w:val="0"/>
      <w:marTop w:val="0"/>
      <w:marBottom w:val="0"/>
      <w:divBdr>
        <w:top w:val="none" w:sz="0" w:space="0" w:color="auto"/>
        <w:left w:val="none" w:sz="0" w:space="0" w:color="auto"/>
        <w:bottom w:val="none" w:sz="0" w:space="0" w:color="auto"/>
        <w:right w:val="none" w:sz="0" w:space="0" w:color="auto"/>
      </w:divBdr>
    </w:div>
    <w:div w:id="1914850318">
      <w:bodyDiv w:val="1"/>
      <w:marLeft w:val="0"/>
      <w:marRight w:val="0"/>
      <w:marTop w:val="0"/>
      <w:marBottom w:val="0"/>
      <w:divBdr>
        <w:top w:val="none" w:sz="0" w:space="0" w:color="auto"/>
        <w:left w:val="none" w:sz="0" w:space="0" w:color="auto"/>
        <w:bottom w:val="none" w:sz="0" w:space="0" w:color="auto"/>
        <w:right w:val="none" w:sz="0" w:space="0" w:color="auto"/>
      </w:divBdr>
    </w:div>
    <w:div w:id="19525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dx.doi.org/10.1016/j.chemosphere.2017.04.114"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8954-FBD8-475A-8B6D-E5B9C048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7160</Words>
  <Characters>40813</Characters>
  <Application>Microsoft Office Word</Application>
  <DocSecurity>0</DocSecurity>
  <Lines>340</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JWGU</Company>
  <LinksUpToDate>false</LinksUpToDate>
  <CharactersWithSpaces>47878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Ruppert</dc:creator>
  <cp:lastModifiedBy>Tom Hutchinson</cp:lastModifiedBy>
  <cp:revision>2</cp:revision>
  <cp:lastPrinted>2016-05-27T06:26:00Z</cp:lastPrinted>
  <dcterms:created xsi:type="dcterms:W3CDTF">2017-11-01T10:33:00Z</dcterms:created>
  <dcterms:modified xsi:type="dcterms:W3CDTF">2017-11-01T10:33:00Z</dcterms:modified>
</cp:coreProperties>
</file>